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ACPR/49/2022 vom 23. September 2021</w:t>
      </w:r>
    </w:p>
    <w:p>
      <w:r>
        <w:t>GE Cour de justice, 2021-09-23, FR</w:t>
      </w:r>
    </w:p>
    <w:p>
      <w:r>
        <w:rPr>
          <w:b/>
        </w:rPr>
        <w:t xml:space="preserve">Quelle: </w:t>
      </w:r>
      <w:r>
        <w:t>https://mcp.opencaselaw.ch/entscheid/ge_gerichte_ACPR_49_2022</w:t>
      </w:r>
    </w:p>
    <w:p>
      <w:r>
        <w:t>FR: GE_GERICHTE ACPR/49/2022 du 23 septembre 2021</w:t>
      </w:r>
    </w:p>
    <w:p>
      <w:r>
        <w:t>IT: GE_GERICHTE ACPR/49/2022 del 23 settembre 2021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102 al. 1 et 393 al. 1 let. a CPP) et émaner du prévenu qui, en tant que partie à la procédure (art. 104 al. 1 let. a CPP), a qualité pour agir, ayant un intérêt juridiquement protégé à la modification ou à l'annulation de la décision querellée (art. 382 al. 1 CPP).</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w:t>
      </w:r>
    </w:p>
    <w:p>
      <w:r>
        <w:t>- 8/11 - P/21003/2020 l'exécution de la peine avant même l'entrée en force du jugement (ATF 133 I 270 consid. 3.2.1).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(arrêts du Tribunal fédéral 1B_426/2012 du 3 août 2012 consid. 2.1; 1B_415/2012 du 25 juillet 2012 consid. 3 et les arrêts cités). Durant la procédure d'instruction, l'autorisation de l'exécution anticipée des peines et des mesures ne peut être donnée que si la présence du prévenu n'est plus requise dans le contexte de la procédure, autrement dit, si l'instruction touche à sa fin (…). La direction de la procédure devra tenir compte du fait que le risque de collusion est plus difficile à écarter durant une exécution anticipée que pendant la détention provisoire (Message relatif à l'unification du droit de la procédure pénale du 21 décembre 2005, p. 1217 ad art. 235 [actuel article 236]).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 La poursuite de la détention sous la forme de l'exécution anticipée de la peine présuppose l'existence d'un motif de détention provisoire particulier, comme le risque de collusion. Ce motif de détention est en premier lieu justifié par les besoins de l'instruction en cours. Plus l'instruction est avancée et les faits établis avec précision, plus les exigences relatives à la preuve d'un risque de collusion sont élevées (cf. ATF 132 I 21 consid. 3.2 p. 23 et les références citées). Un risque de collusion justifiant un refus d'exécution anticipée de peine demeure lorsque le fonctionnement concret d'une bande n'a pas pu être établi (arrêts du Tribunal fédéral 1B_415/2012 du 25 juillet 2012 et 1B_107/2020 du 24 mars 2020) ou parce que le prévenu conteste avec véhémence les graves accusations portées contre lui, le risque de collusion demeurant ainsi jusqu'à l'audience de jugement, moment où les preuves essentielles et décisives doivent être administrées (arrêt du Tribunal fédéral 1B_400/2017 du 18 octobre 2017).</w:t>
      </w:r>
    </w:p>
    <w:p>
      <w:r>
        <w:t>- 9/11 - P/21003/2020 Les modalités d'exécution de la peine ne permettent pas de prévenir les manœuvres de collusion aussi bien que dans le cadre de la détention préventive. Il y a ainsi lieu de refuser l'exécution anticipée de la peine lorsqu'un risque élevé demeure qui mettrait en péril le but de la détention et les besoins de l'instruction (arrêt du tribunal fédéral 1B_415/2012 du 25 juillet 2012 consid. 3).</w:t>
      </w:r>
    </w:p>
    <w:p>
      <w:r>
        <w:rPr>
          <w:b/>
        </w:rPr>
        <w:t>E. 2.2</w:t>
      </w:r>
    </w:p>
    <w:p>
      <w:r>
        <w:t>En l'occurrence, ce n'est que confronté aux enregistrements de ses conversations et aux déclarations de D______ l'impliquant dans le trafic que le recourant a admis avoir transporté quelque chose pesant 50 grammes (mais non 250 grammes de cocaïne) et avoir servi d'intermédiaire entre D______ et S______ dans le transfert d'argent qu'il savait provenir du trafic de stupéfiant. Jusqu'alors, il contestait toute implication. Le Procureur doit encore le confronter aux constatations du dernier rapport de police concernant spécifiquement ses liens avec D______ et S______, et déterminer le rôle de chacun dans le trafic; il a d'ailleurs agendé plusieurs audiences dans le courant du mois de janvier 2022 portant sur les messages vocaux et conversations téléphoniques. On ne peut dès lors considérer que la présence du recourant n'est plus requise ni que l'instruction touche à sa fin. En outre, S______ – qui apparaît comme étant un acteur important du trafic – n'a pas encore été interpellé et il ne peut être exclu que le recourant ne veuille avertir ce dernier de la procédure et des charges pesant sur lui, ce qu'il pourrait faire plus facilement sous le régime de l'exécution de peine. Enfin, le but de l'art. 236 CPP est d'offrir au détenu un régime d'exécution tenant compte notamment de sa situation et de lui assurer, cas échéant, de meilleures chances de resocialisation (ATF 143 IV 160 consid. 2.1). Or, force est de constater que le recourant ne répond pas à cette condition préalable, faute de pouvoir espérer séjouner en Suisse par la suite.</w:t>
      </w:r>
    </w:p>
    <w:p>
      <w:r>
        <w:rPr>
          <w:b/>
        </w:rPr>
        <w:t>E. 3</w:t>
      </w:r>
    </w:p>
    <w:p>
      <w:r>
        <w:t>Justifiée, la décision querellée sera donc confirmée.</w:t>
      </w:r>
    </w:p>
    <w:p>
      <w:r>
        <w:rPr>
          <w:b/>
        </w:rPr>
        <w:t>E. 4</w:t>
      </w:r>
    </w:p>
    <w:p>
      <w:r>
        <w:t>Le recourant, qui succombe, supportera les frais envers l'État, fixés en totalité à CHF 900.- (art. 428 al. 1 CPP et 13 al. 1 du Règlement fixant le tarif des frais en matière pénale, RTFMP ; E 4 10.03).</w:t>
      </w:r>
    </w:p>
    <w:p>
      <w:r>
        <w:rPr>
          <w:b/>
        </w:rPr>
        <w:t>E. 5</w:t>
      </w:r>
    </w:p>
    <w:p>
      <w:r>
        <w:t>Il n'y a pas lieu d'indemniser à ce stade (cf. art. 135 al. 2 CPP) la procédure n'étant pas terminée. * * * * *</w:t>
      </w:r>
    </w:p>
    <w:p>
      <w:r>
        <w:t>- 10/11 -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