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ACPR/49/2020 vom 3. September 2019</w:t>
      </w:r>
    </w:p>
    <w:p>
      <w:r>
        <w:t>GE Cour de justice, 2019-09-03, FR</w:t>
      </w:r>
    </w:p>
    <w:p>
      <w:r>
        <w:rPr>
          <w:b/>
        </w:rPr>
        <w:t xml:space="preserve">Quelle: </w:t>
      </w:r>
      <w:r>
        <w:t>https://mcp.opencaselaw.ch/entscheid/ge_gerichte_ACPR_49_2020</w:t>
      </w:r>
    </w:p>
    <w:p>
      <w:r>
        <w:t>FR: GE_GERICHTE ACPR/49/2020 du 3 septembre 2019</w:t>
      </w:r>
    </w:p>
    <w:p>
      <w:r>
        <w:t>IT: GE_GERICHTE ACPR/49/2020 del 3 settembre 2019</w:t>
      </w:r>
    </w:p>
    <w:p>
      <w:pPr>
        <w:pStyle w:val="Heading2"/>
      </w:pPr>
      <w:r>
        <w:t>Erwägungen</w:t>
      </w:r>
    </w:p>
    <w:p>
      <w:r>
        <w:rPr>
          <w:b/>
        </w:rPr>
        <w:t>E. 1</w:t>
      </w:r>
    </w:p>
    <w:p>
      <w:r>
        <w:t>Le recours est recevable pour avoir été déposé dans le délai et la forme prescrits (art. 90 al. 2, 396 al. 1 et 385 al. 1 CPP), concerner une décision du Tribunal de police sujette à recours auprès de la Chambre de céans (art. 393 al. 1 let. b CPP) et émaner du prévenu, qui a la qualité pour agir (art. 104 al. 1 let. a, 111 et 382 al. 1 CPP) et un intérêt juridiquement protégé à l'annulation ou la modification de l'ordonnance entreprise (382 al. 1 CPP).</w:t>
      </w:r>
    </w:p>
    <w:p>
      <w:r>
        <w:rPr>
          <w:b/>
        </w:rPr>
        <w:t>E. 2.1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2.2</w:t>
      </w:r>
    </w:p>
    <w:p>
      <w:r>
        <w:t>A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w:t>
      </w:r>
    </w:p>
    <w:p>
      <w:r>
        <w:t>Les autorités suisses peuvent faire parvenir une citation à comparaître à un prévenu qui séjourne à l'étranger, mais ne sont pas habilitées à les assortir de menaces de sanctions; à défaut, elles violent la souveraineté de l'État étranger (ATF 140 IV 86 consid. 2.4 p. 89 et les références citées; arrêt du Tribunal fédéral 6B_678/2015 du 28 septembre 2015 consid. 1.3).</w:t>
      </w:r>
    </w:p>
    <w:p>
      <w:r>
        <w:rPr>
          <w:b/>
        </w:rPr>
        <w:t>E. 2.3</w:t>
      </w:r>
    </w:p>
    <w:p>
      <w:r>
        <w:t>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La doctrine relative à l'art. 205 CPP – dont on peut s'inspirer ici – mentionne, comme motifs d’excuse, la maladie, le service militaire ou l’absence à l’étranger, le service civil ou un autre service public affectant la disponibilité de la personne convoquée, la</w:t>
      </w:r>
    </w:p>
    <w:p>
      <w:r>
        <w:t>- 5/7 - P/25429/2018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 M. NIGGLI / M. HEER / H. WIPRÄCHTIGER, Schweizerische Strafprozessordnung / Schweizerische Jugendstrafprozessordnung, Basler Kommentar StPO/JStPO, Bâle 2011, n. 6 ad art. 205).</w:t>
      </w:r>
    </w:p>
    <w:p>
      <w:r>
        <w:rPr>
          <w:b/>
        </w:rPr>
        <w:t>E. 2.4</w:t>
      </w:r>
    </w:p>
    <w:p>
      <w:r>
        <w:t>En l'espèce, force est de constater que le recourant a lui-même retiré en Suisse la convocation à l'audience à laquelle il a fait défaut. Peu importe donc que son adresse en France soit réelle ou non, la convocation et les conséquences qui assortissaient l'absence à ladite lui ayant été notifiées en Suisse, sans aucune violation de la souveraineté de l'Etat étranger. Le recourant ne demande pas la restitution du délai pour comparaître. L'aurait-il fait que son absence (résultant d'un prétendu manque d'argent et de la crainte d'une arrestation) n'est pas due à un empêchement inexcusable au sens de la jurisprudence. Le recours sera dès lors rejeté.</w:t>
      </w:r>
    </w:p>
    <w:p>
      <w:r>
        <w:rPr>
          <w:b/>
        </w:rPr>
        <w:t>E. 3</w:t>
      </w:r>
    </w:p>
    <w:p>
      <w:r>
        <w:t>Justifiée, l'ordonnance querellée sera donc confirmée.</w:t>
      </w:r>
    </w:p>
    <w:p>
      <w:r>
        <w:rPr>
          <w:b/>
        </w:rPr>
        <w:t>E. 4</w:t>
      </w:r>
    </w:p>
    <w:p>
      <w:r>
        <w:t>Le recourant, dont le recours est rejeté, supportera également les frais envers l'État pour la procédure de recours, qui seront fixés en totalité à CHF 500.- (art. 428 al. 1 CPP et 13 al. 1 RTFMP). * * * * *</w:t>
      </w:r>
    </w:p>
    <w:p>
      <w:r>
        <w:t>- 6/7 - P/25429/2018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