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ACPR/499/2022 vom 24. Januar 2022</w:t>
      </w:r>
    </w:p>
    <w:p>
      <w:r>
        <w:t>GE Cour de justice, 2022-01-24, FR</w:t>
      </w:r>
    </w:p>
    <w:p>
      <w:r>
        <w:rPr>
          <w:b/>
        </w:rPr>
        <w:t xml:space="preserve">Quelle: </w:t>
      </w:r>
      <w:r>
        <w:t>https://mcp.opencaselaw.ch/entscheid/ge_gerichte_ACPR_499_2022</w:t>
      </w:r>
    </w:p>
    <w:p>
      <w:r>
        <w:t>FR: GE_GERICHTE ACPR/499/2022 du 24 janvier 2022</w:t>
      </w:r>
    </w:p>
    <w:p>
      <w:r>
        <w:t>IT: GE_GERICHTE ACPR/499/2022 del 24 gennaio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Selon l’art. 310 al. 1 let. b CPP, le ministère public rend immédiatement une ordonnance de non-entrée en matière lorsqu’il ressort de la plainte qu'il existe des empêchements de procéder, par exemple lorsque le délai pour déposer plainte prévu par l'art. 31 CP n'a pas été respecté (arrêt du Tribunal fédéral 6B_848/2018 du 4 décembre 2018 consid. 1.5).</w:t>
      </w:r>
    </w:p>
    <w:p>
      <w:r>
        <w:rPr>
          <w:b/>
        </w:rPr>
        <w:t>E. 2.1</w:t>
      </w:r>
    </w:p>
    <w:p>
      <w:r>
        <w:t>À l'exception de la qualité pour déposer plainte qui est réglée spécifiquement à l'art. 23 al. 2 LCD, l'introduction et le retrait d'une poursuite pénale contre l'auteur</w:t>
      </w:r>
    </w:p>
    <w:p>
      <w:r>
        <w:t>- 7/12 - P/1529/2022 d'un acte de concurrence déloyale suivent les conditions formelles des art. 31 ss CP (V. MARTENET / P. PICHONNAZ (éds), Commentaire romand : Loi contre la concurrence déloyale, Bâle 2017, n. 31 ad rem. lim. aux art. 23-27).</w:t>
      </w:r>
    </w:p>
    <w:p>
      <w:r>
        <w:t>L'art. 162 CP punit, sur plainte, celui qui aura révélé un secret de fabrication ou un secret commercial qu'il était tenu de garder en vertu d'une obligation légale ou contractuelle; ainsi que celui qui aura utilisé cette révélation à son profit ou à celui d'un tiers.</w:t>
      </w:r>
    </w:p>
    <w:p>
      <w:r>
        <w:t>Le délai de plainte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w:t>
      </w:r>
    </w:p>
    <w:p>
      <w:r>
        <w:t>La plainte pénale est déposée à raison d'un état de fait délictueux déterminé (cf. art. 30 ss. CP). Il s'ensuit que la poursuite pénale ne peut être exigée que pour les infractions qui ont déjà été commises. Ce n'est qu'en cas de délits continus que la jurisprudence admet qu'une plainte s'étende aux faits qui perdurent après le dépôt de la plainte. Or, la concurrence déloyale ne constitue pas un délit continu (arrêt du Tribunal fédéral 6B_123/2016 du 9 décembre 2016 consid. 4.1. et 4.2.).</w:t>
      </w:r>
    </w:p>
    <w:p>
      <w:r>
        <w:rPr>
          <w:b/>
        </w:rPr>
        <w:t>E. 2.2</w:t>
      </w:r>
    </w:p>
    <w:p>
      <w:r>
        <w:t>En l'occurrence, il ressort des éléments au dossier que, à tout le moins le 28 septembre 2021 – date à laquelle A______ SA a reçu le second courriel adressé à G______ chez D______ SA –, la recourante connaissait de manière suffisante les faits fondant sa plainte. Dès cette date, elle savait que D______ SA était dirigée et employait d'anciens employés à elle; travaillait avec les mêmes fournisseurs et produits qu'elle et distribuait ces derniers dans les mêmes zones géographiques. Déposée le 17 janvier 2022, la plainte doit donc être considérée comme tardive.</w:t>
      </w:r>
    </w:p>
    <w:p>
      <w:r>
        <w:t>Au surplus, au vu de la jurisprudence en matière de concurrence déloyale, qui est claire (arrêt du Tribunal fédéral 6B_123/2016 précité), l'on ne saurait considérer que le délai de plainte n'a pas commencé à courir pour les faits dénoncés. La recourante ne peut donc pas être suivie lorsqu'elle estime que lesdits faits constituent un délit continu et que celui-ci perdure pendant toute la durée nécessaire à un tiers pour</w:t>
      </w:r>
    </w:p>
    <w:p>
      <w:r>
        <w:t>- 8/12 - P/1529/2022 développer la même activité ab ovo, sans les connaissances obtenues par les mis en cause auprès d'elle.</w:t>
      </w:r>
    </w:p>
    <w:p>
      <w:r>
        <w:t>Par ailleurs, au regard du développement qui précède (cf. consid. 2.2. 1er § supra), on ne saurait non plus voir dans l'infraction visée par l'art. 162 al. 1 CP – invoquée pour la première fois dans la réplique – un délit continu, qui perduerait aussi longtemps que les mis en cause utiliseraient à leur profit les informations dont ils ont eu connaissance dans le cadre de leur relation de travail avec la recourante. En effet, selon la jurisprudence le terme "utilisation" doit être vu comme équivalent à celui "d'exploitation" de l'art. 6 LCD. Il s'agit donc d'un acte ponctuel et déterminé, et non d'un délit continu, de sorte que l'infraction est commise dès le moment où le secret est utilisé (arrêt du Tribunal pénal fédéral du 9 juillet 2013 SK.2013.23 consid. 5.1 et 5.3).</w:t>
      </w:r>
    </w:p>
    <w:p>
      <w:r>
        <w:t>Par conséquent, c'est à raison que le Ministère public considère qu'il existe un empêchement de procéder pour les infractions poursuivies sur plainte (art. 310 al. 1 let. b CPP), celle-ci ayant été déposée tardivement.</w:t>
      </w:r>
    </w:p>
    <w:p>
      <w:r>
        <w:rPr>
          <w:b/>
        </w:rPr>
        <w:t>E. 3</w:t>
      </w:r>
    </w:p>
    <w:p>
      <w:r>
        <w:t>Reste à examiner la question de la violation de l'art. 158 CP par B______.</w:t>
      </w:r>
    </w:p>
    <w:p>
      <w:r>
        <w:rPr>
          <w:b/>
        </w:rPr>
        <w:t>E. 3.1</w:t>
      </w:r>
    </w:p>
    <w:p>
      <w:r>
        <w:t>Le ministère public rend immédiatement une ordonnance de non-entrée en matière lorsqu’il ressort de la plainte que les éléments constitutifs d’une infraction ne sont pas réalisés (art. 310 al. 1 let. a CPP).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Au moment de statuer sur l'ouverture éventuelle de l'instruction, le ministère public doit examiner si les conditions d'exercice de l'action publique sont réunies, c'est-à-</w:t>
      </w:r>
    </w:p>
    <w:p>
      <w:r>
        <w:t>- 9/12 - P/1529/2022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3.2</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3.3</w:t>
      </w:r>
    </w:p>
    <w:p>
      <w:r>
        <w:t>En l'occurrence, aucun élément au dossier ne permet de retenir que B______ ait contribué à la création de D______ SA, y occuperait une position dirigeante ou déploierait une quelconque activité, et ce, même du temps où il œuvrait pour la recourante, ni même pour C______ SA. Il ressort plutôt des éléments produits que l'intéressé a cessé son activité professionnelle auprès de A______ SA afin de prendre sa retraite anticipée, intention déjà évoquée plusieurs années avant sa démission. Ce constat n'est pas modifié par le seul lien de parenté que l'intéressé entretient avec les administrateurs de D______ SA – père de E______ et frère de F______ –. Il n'est pas non plus renversé du fait que, selon la recourante, B______ aurait été à l'origine de la suppression, sur son serveur, du courriel du 8 septembre 2021 dans la mesure où cette allégation n'est corroborée par aucun autre élément probant.</w:t>
      </w:r>
    </w:p>
    <w:p>
      <w:r>
        <w:t>Cette infraction n'est donc manifestement pas réalisée par B______, faute d'élément permettant de considérer un quelconque lien avec D______ SA.</w:t>
      </w:r>
    </w:p>
    <w:p>
      <w:r>
        <w:t>Partant, c'est à juste titre que le Ministère public n'est pas entré en matière sur la plainte de A______ SA.</w:t>
      </w:r>
    </w:p>
    <w:p>
      <w:r>
        <w:t>- 10/12 - P/1529/2022</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- 11/12 - P/1529/2022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