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ACPR/499/2020 vom 9. Juli 2020</w:t>
      </w:r>
    </w:p>
    <w:p>
      <w:r>
        <w:t>GE Cour de justice, 2020-07-09, FR</w:t>
      </w:r>
    </w:p>
    <w:p>
      <w:r>
        <w:rPr>
          <w:b/>
        </w:rPr>
        <w:t xml:space="preserve">Quelle: </w:t>
      </w:r>
      <w:r>
        <w:t>https://mcp.opencaselaw.ch/entscheid/ge_gerichte_ACPR_499_2020</w:t>
      </w:r>
    </w:p>
    <w:p>
      <w:r>
        <w:t>FR: GE_GERICHTE ACPR/499/2020 du 9 juillet 2020</w:t>
      </w:r>
    </w:p>
    <w:p>
      <w:r>
        <w:t>IT: GE_GERICHTE ACPR/499/2020 del 9 luglio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w:t>
      </w:r>
    </w:p>
    <w:p>
      <w:r>
        <w:t>- 4/7 - P/9109/2020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conteste le séquestre et la vente de son véhicule.</w:t>
      </w:r>
    </w:p>
    <w:p>
      <w:r>
        <w:rPr>
          <w:b/>
        </w:rPr>
        <w:t>E. 3.1</w:t>
      </w:r>
    </w:p>
    <w:p>
      <w:r>
        <w:t>Selon l'art. 263 al. 1 CPP, des objets et des valeurs patrimoniales appartenant au prévenu ou à des tiers peuvent être mis sous séquestre, lorsqu'il est probable qu'ils seront utilisés pour garantir le paiement des frais de procédure, des peines pécuniaires, des amendes et des indemnités (let. b) ou qu'ils devront être confisqués (let. d).</w:t>
      </w:r>
    </w:p>
    <w:p>
      <w:r>
        <w:rPr>
          <w:b/>
        </w:rPr>
        <w:t>E. 3.2</w:t>
      </w:r>
    </w:p>
    <w:p>
      <w:r>
        <w:t>L'art. 263 al. 1 let. d CPP est respecté lorsque la saisie porte sur des objets dont on peut vraisemblablement admettre qu'ils pourront être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(ATF 116 Ib 96 consid. 3a p. 99). Le séquestre peut être maintenu tant que subsiste la probabilité d'une confiscation (arrêt 1B_326/2013 du 6 mars 2014 consid. 4.1.1 destiné à la publication).</w:t>
      </w:r>
    </w:p>
    <w:p>
      <w:r>
        <w:rPr>
          <w:b/>
        </w:rPr>
        <w:t>E. 3.3</w:t>
      </w:r>
    </w:p>
    <w:p>
      <w:r>
        <w:t>À teneur de l'art. 71 al. 1 CP, lorsque l'avantage illicite doit être confisqué, mais que les valeurs patrimoniales en résultant ne sont plus disponibles, parce qu'elles ont été consommées, dissimulées ou aliénées, de même, s'agissant de choses fongibles, lorsque celles-ci ont été mélangées au point que le "paper trail" ne peut plus être reconstitué, le juge ordonne le remplacement par une créance compensatrice de l'État d'un montant équivalent. Le but de cette mesure est d'éviter que celui qui a disposé des objets ou valeurs à confisquer soit privilégié par rapport à celui qui les a conservés (ATF 129 IV 107 consid. 3.2 p. 109); elle ne joue qu'un rôle de substitution de la confiscation en nature et ne doit donc, par rapport à celle-ci, engendrer ni avantage ni inconvénient (ATF 124 I 6 consid. 4b/bb p. 8 s.; 123 IV 70 consid. 3 p. 74). En raison de son caractère subsidiaire, la créance compensatrice ne peut être ordonnée que si, dans l'hypothèse où les valeurs patrimoniales auraient été disponibles, la confiscation eût été prononcée: elle est alors soumise aux mêmes conditions que la confiscation. Néanmoins, un lien de connexité entre les valeurs saisies et l'infraction commise n'est pas requis (ATF 140 IV 57 consid. 4.1.2 p. 63 et suivantes).</w:t>
      </w:r>
    </w:p>
    <w:p>
      <w:r>
        <w:t>- 5/7 - P/9109/2020</w:t>
      </w:r>
    </w:p>
    <w:p>
      <w:r>
        <w:rPr>
          <w:b/>
        </w:rPr>
        <w:t>E. 3.4</w:t>
      </w:r>
    </w:p>
    <w:p>
      <w:r>
        <w:t>Selon l’art. 266 al. 5 CPP, les objets sujets à une dépréciation rapide ou à un entretien dispendieux peuvent être réalisés immédiatement, et leur produit séquestré. La réalisation anticipée tend, dans l’intérêt du prévenu comme dans celui de l’autorité, à obtenir une valeur de remplacement qui, le moment venu, pourra être restituée ou confisquée (SJ 2005 I 190, consid. 14.2. p. 191 non publié aux ATF 130 I 360). Savoir si un entretien est onéreux dépend du rapport entre la valeur du bien séquestré et le montant des dépenses d'entretien, en tenant compte de la durée probable de celui-ci (cf. ATF 111 IV 41 consid. 3 p. 43). Les frais d'entretien ou de dépôt sont qualifiés de dispendieux s'ils apparaissent disproportionnés par rapport à la valeur des biens saisis. Il peut en aller ainsi d’un véhicule de valeur modeste, dont les frais d’entreposage sont élevés (N. SCHMID, Schweizerische Strafprozess- ordnung : Praxiskommentar, Zurich, 2e éd. 2013, n. 8 ad art. 266).</w:t>
      </w:r>
    </w:p>
    <w:p>
      <w:r>
        <w:rPr>
          <w:b/>
        </w:rPr>
        <w:t>E. 3.5</w:t>
      </w:r>
    </w:p>
    <w:p>
      <w:r>
        <w:t>En l'espèce, c'est en vain que la recourante conteste ici les préventions pesant à son encontre. Celles-ci ont été considérées comme suffisantes dans l'arrêt ACPR/495/2020, de sorte qu'il peut y être sans autre renvoyé.</w:t>
      </w:r>
    </w:p>
    <w:p>
      <w:r>
        <w:t>Les conditions posées à l'art. 263 al. 1 CPP sont remplies.</w:t>
      </w:r>
    </w:p>
    <w:p>
      <w:r>
        <w:t>Certes, la valeur actuelle du véhicule, acheté en 2016 au prix de CHF 20'000.- selon la recourante, n'est pas connue. Tout comme son kilométrage.</w:t>
      </w:r>
    </w:p>
    <w:p>
      <w:r>
        <w:t>La recourante ne soutient toutefois pas ni ne démontre que son véhicule aurait une valeur résiduelle à ce point réduite que l'expectative de gain qui résulterait de sa vente serait insignifiante.</w:t>
      </w:r>
    </w:p>
    <w:p>
      <w:r>
        <w:t>Il ne ressort en outre pas du dossier que les séquestres bancaires ordonnés auraient porté sur des montants suffisants pour couvrir la future créance compensatrice.</w:t>
      </w:r>
    </w:p>
    <w:p>
      <w:r>
        <w:t>Partant, le séquestre et la vente du véhicule – même s'il est notoire qu'une vente d'une voiture de la fourrière rapporte une proportion infirme de la valeur réelle – apparaissent justifiés et proportionnés.</w:t>
      </w:r>
    </w:p>
    <w:p>
      <w:r>
        <w:rPr>
          <w:b/>
        </w:rPr>
        <w:t>E. 4</w:t>
      </w:r>
    </w:p>
    <w:p>
      <w:r>
        <w:t>Le recours sera, partant, rejeté.</w:t>
      </w:r>
    </w:p>
    <w:p>
      <w:r>
        <w:rPr>
          <w:b/>
        </w:rPr>
        <w:t>E. 5</w:t>
      </w:r>
    </w:p>
    <w:p>
      <w:r>
        <w:t>La recourante, qui succombe, supportera les frais envers l'État, qui comprendront un émolument de CHF 900.- (art. 428 al. 1 CPP et 13 al. 1 du Règlement fixant le tarif des frais en matière pénale, RTFMP ; E 4 10.03). * * * * *</w:t>
      </w:r>
    </w:p>
    <w:p>
      <w:r>
        <w:t>- 6/7 - P/9109/2020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