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ACPR/497/2018 vom 7. Mai 2018</w:t>
      </w:r>
    </w:p>
    <w:p>
      <w:r>
        <w:t>GE Cour de justice, 2018-05-07, FR</w:t>
      </w:r>
    </w:p>
    <w:p>
      <w:r>
        <w:rPr>
          <w:b/>
        </w:rPr>
        <w:t xml:space="preserve">Quelle: </w:t>
      </w:r>
      <w:r>
        <w:t>https://mcp.opencaselaw.ch/entscheid/ge_gerichte_ACPR_497_2018</w:t>
      </w:r>
    </w:p>
    <w:p>
      <w:r>
        <w:t>FR: GE_GERICHTE ACPR/497/2018 du 7 mai 2018</w:t>
      </w:r>
    </w:p>
    <w:p>
      <w:r>
        <w:t>IT: GE_GERICHTE ACPR/497/2018 del 7 maggio 2018</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3</w:t>
      </w:r>
    </w:p>
    <w:p>
      <w:r>
        <w:t>À teneur de l'art. 310 al. 1 let. a CPP, le ministère public rend immédiatement une ordonnance de non-entrée en matière s'il ressort de la dénonciation que les éléments constitutifs de l'infraction ou les conditions à l'ouverture de l'action pénale ne sont</w:t>
      </w:r>
    </w:p>
    <w:p>
      <w:r>
        <w:t>- 4/9 - P/7592/2018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Des motifs de fait peuvent justifier la non-entrée en matière. Ce n'est que si aucun acte d'enquête ne paraît pouvoir amener des éléments utiles que le ministère public peut rendre une telle ordonnance (A. KUHN / Y. JEANNERET (éds), Commentaire romand : Code de procédure pénale suisse, Bâle 2011, n. 9 ad art. 310 CPP).</w:t>
      </w:r>
    </w:p>
    <w:p>
      <w:r>
        <w:rPr>
          <w:b/>
        </w:rPr>
        <w:t>E. 4</w:t>
      </w:r>
    </w:p>
    <w:p>
      <w:r>
        <w:t>Le recourant s'estime victime d'un abus de confiance, voire d'une escroquerie.</w:t>
      </w:r>
    </w:p>
    <w:p>
      <w:r>
        <w:rPr>
          <w:b/>
        </w:rPr>
        <w:t>E. 4.1</w:t>
      </w:r>
    </w:p>
    <w:p>
      <w:r>
        <w:t>Selon l'art. 138 ch. 1 al. 1 CP, commet un abus de confiance celui qui, pour se procurer ou procurer à un tiers un enrichissement illégitime, se sera approprié une chose mobilière appartenant à autrui et qui lui avait été confiée. S'agissant du transfert d'une somme d'argent, on peut concevoir deux hypothèses : soit les fonds sont confiés à l'auteur par celui qui les lui remet, soit les fonds sont confiés par celui en faveur duquel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spéc. p. 241 s. et les références citées). Les contrats synallagmatiques ne font naître en principe que des prétentions à une contre-prestation, et non une obligation de conservation. Il n'y a ainsi pas de valeur confiée lorsqu'une partie à un contrat reçoit de l'argent pour son propre compte, en contre-partie d'une prestation qu'elle doit elle-même fournir (ATF 133 IV 21 consid. 7.2 p. 30 s, arrêt du Tribunal fédéral 6B_312/2009 du 17 juillet 2009). Une chose obtenue par l'auteur à la faveur d'une tromperie ne lui est en règle générale pas confiée. Il en va en revanche différemment lorsque cette tromperie a précisément eu pour but que la victime confie ce bien à l'auteur (ATF 133 IV 21 consid. 6.2 p. 29, 117 IV 429 consid. 3c p. 436).</w:t>
      </w:r>
    </w:p>
    <w:p>
      <w:r>
        <w:rPr>
          <w:b/>
        </w:rPr>
        <w:t>E. 4.2</w:t>
      </w:r>
    </w:p>
    <w:p>
      <w:r>
        <w:t>Celui qui promet une prestation sans avoir l'intention de l'exécuter agit astucieusement, au sens de l'art. 146 CP, parce qu'en promettant, il donne le change sur ses véritables intentions, ce que sa victime est dans l'impossibilité de vérifier (ATF 118 IV 359 consid. 2 p. 360 s.).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La jurisprudence vise notamment les cas d'opérations courantes de faible</w:t>
      </w:r>
    </w:p>
    <w:p>
      <w:r>
        <w:t>- 5/9 - P/7592/2018 valeur, pour lesquelles une vérification entraînerait des frais ou une perte de temps disproportionnée ou ne peut être exigée pour des raisons commerciales (arrêts du Tribunal fédéral 6B_501/2014 du 27 octobre 2014 consid. 2.1; 6B_783/2009 du 12 janvier 2010 consid. 3.1).</w:t>
      </w:r>
    </w:p>
    <w:p>
      <w:r>
        <w:rPr>
          <w:b/>
        </w:rPr>
        <w:t>E. 4.3</w:t>
      </w:r>
    </w:p>
    <w:p>
      <w:r>
        <w:t>À la lumière de ces principes, le recourant ne peut être suivi. Aucune des pièces qu'il produit n'amène à la conclusion que l'argent remis à la personne mise en cause devait connaître une affectation particulière, étant observé que l'extinction d'une dette fiscale paraît désormais conforme aussi à ses attentes à lui. Il n'est qu'à lire les nombreux messages échangés sur C______ pour se convaincre que la personne mise en cause connaissait des difficultés financières, qu'elle a perdu son emploi dans une banque (et non dans la fiduciaire où elle aurait été chargée de "tax corporate") à la fin 2017 et qu'elle a multiplié les prétextes pour différer la restitution, réclamée par le recourant, de l'argent qu'elle avait reçu de lui. Ce nonobstant, le recourant, qui se plaint de n'avoir reçu aucun remboursement, a accepté de continuer à transférer de l'argent encore après avoir reçu la première reconnaissance de dette, le 8 avril 2015, et, en particulier, même après que la date du</w:t>
      </w:r>
    </w:p>
    <w:p>
      <w:r>
        <w:rPr>
          <w:b/>
        </w:rPr>
        <w:t>E. 5</w:t>
      </w:r>
    </w:p>
    <w:p>
      <w:r>
        <w:t>Le recourant, qui succombe dans toutes ses conclusions, supportera les frais envers l'État, qui seront fixés en totalité à CHF 900.- (art. 428 al. 1 CPP et 13 al. 1 du Règlement fixant le tarif des frais en matière pénale, RTFMP; E 4 10.03). * * * * *</w:t>
      </w:r>
    </w:p>
    <w:p>
      <w:r>
        <w:t>- 8/9 - P/7592/2018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