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ACPR/495/2020 vom 5. Juli 2020</w:t>
      </w:r>
    </w:p>
    <w:p>
      <w:r>
        <w:t>GE Cour de justice, 2020-07-05, FR</w:t>
      </w:r>
    </w:p>
    <w:p>
      <w:r>
        <w:rPr>
          <w:b/>
        </w:rPr>
        <w:t xml:space="preserve">Quelle: </w:t>
      </w:r>
      <w:r>
        <w:t>https://mcp.opencaselaw.ch/entscheid/ge_gerichte_ACPR_495_2020</w:t>
      </w:r>
    </w:p>
    <w:p>
      <w:r>
        <w:t>FR: GE_GERICHTE ACPR/495/2020 du 5 juillet 2020</w:t>
      </w:r>
    </w:p>
    <w:p>
      <w:r>
        <w:t>IT: GE_GERICHTE ACPR/495/2020 del 5 luglio 2020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recourante conteste les charges.</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w:t>
      </w:r>
    </w:p>
    <w:p>
      <w:r>
        <w:t>- 7/10 - P/9109/2020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w:t>
      </w:r>
    </w:p>
    <w:p>
      <w:r>
        <w:rPr>
          <w:b/>
        </w:rPr>
        <w:t>E. 2.2</w:t>
      </w:r>
    </w:p>
    <w:p>
      <w:r>
        <w:t>En l'espèce, il ressort du dossier que la prévenue a rempli et déposé, le même jour, deux demandes de crédits COVID-19 au nom de la société D______ SA mentionnant deux chiffres d'affaires différents. Quand bien même on la suivrait lorsqu'elle affirme n'en avoir déposé qu'une, une autre demande ayant été faite pour le compte de sa raison individuelle, il n'existe aucune raison individuelle A______ inscrite au Registre du commerce, la raison individuelle "K______, A______" ayant été radiée le ______ août 2019. À cela s'ajoute que l'activité de traiteur qu'elle dit avoir déployée à titre d'indépendante dans les locaux de D______ SA avec le même personnel de cette société semble avoir été balbutiante et donc ne pas avoir pu générer un chiffre d'affaires conséquent. Il existe ainsi des soupçons suffisants, à ce stade précoce de l'enquête, que la prévenue ait demandé des crédits qui ne remplissaient pas les conditions de l'art. 3 de l'Ordonnance sur les cautionnements solidaires liés au COVID-19 du 25 mars 2019. Les indices d'actes frauduleux sont en outre renforcés par les retraits en cash qui ont immédiatement suivi la mise à disposition des fonds, les explications confuses de la prévenue ainsi que les nombreuses poursuites dont celle-ci fait l'objet, étant précisé que les documents retrouvés par la police ne permettent nullement de disculper la prévenue à ce stade – notamment pas les versements en espèces à de prétendus extras du bar.</w:t>
      </w:r>
    </w:p>
    <w:p>
      <w:r>
        <w:rPr>
          <w:b/>
        </w:rPr>
        <w:t>E. 3</w:t>
      </w:r>
    </w:p>
    <w:p>
      <w:r>
        <w:t>La recourante conteste le risque de collusion.</w:t>
      </w:r>
    </w:p>
    <w:p>
      <w:r>
        <w:rPr>
          <w:b/>
        </w:rPr>
        <w:t>E. 3.1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 128 I 149 consid. 2.1 p. 151 ; 123 I 31 consid. 3c p. 35 et les références).</w:t>
      </w:r>
    </w:p>
    <w:p>
      <w:r>
        <w:t>- 8/10 - P/9109/2020</w:t>
      </w:r>
    </w:p>
    <w:p>
      <w:r>
        <w:rPr>
          <w:b/>
        </w:rPr>
        <w:t>E. 3.2</w:t>
      </w:r>
    </w:p>
    <w:p>
      <w:r>
        <w:t>En l'occurrence, des auditions s'avèrent nécessaires pour corroborer ou infirmer les déclarations – peu convaincantes – de la prévenue, qui s'estime innocente des préventions retenues à son encontre. Si elle affirme que son époux, qui est aussi administrateur de D______ SA, n'était pas au courant de ses demandes de crédit, elle a cependant admis lui avoir versé son salaire en espèces grâce aux montants alloués. L'audition de son époux apparaît donc nécessaire tout comme celle des personnes à qui elle a écrit depuis la prison et qu'elle essaie de rallier à sa cause. Le risque qu'elle tente de les influencer pour faire triompher sa version des faits est donc très grand. Partant, c'est à bon droit que le premier juge a retenu un risque de collusion à ce stade.</w:t>
      </w:r>
    </w:p>
    <w:p>
      <w:r>
        <w:rPr>
          <w:b/>
        </w:rPr>
        <w:t>E. 3.3</w:t>
      </w:r>
    </w:p>
    <w:p>
      <w:r>
        <w:t>On ne voit pas quelle mesure de substitution pourrait pallier ce risque – une éventuelle interdiction de contact n'apparaissant pas suffisamment incitative vu les enjeux pour la prévenue – et cette dernière n'en propose du reste aucune à l'appui de son recours.</w:t>
      </w:r>
    </w:p>
    <w:p>
      <w:r>
        <w:rPr>
          <w:b/>
        </w:rPr>
        <w:t>E. 4</w:t>
      </w:r>
    </w:p>
    <w:p>
      <w:r>
        <w:t>La durée de la détention provisoire ordonnée est parfaitement proportionnée en l'état.</w:t>
      </w:r>
    </w:p>
    <w:p>
      <w:r>
        <w:rPr>
          <w:b/>
        </w:rPr>
        <w:t>E. 5</w:t>
      </w:r>
    </w:p>
    <w:p>
      <w:r>
        <w:t>Le recours s'avère ainsi infondé et doit être rejeté.</w:t>
      </w:r>
    </w:p>
    <w:p>
      <w:r>
        <w:rPr>
          <w:b/>
        </w:rPr>
        <w:t>E. 6</w:t>
      </w:r>
    </w:p>
    <w:p>
      <w:r>
        <w:t>La recourante, qui succombe, supportera les frais envers l'État, qui comprendront un émolument de CHF 900.- (art. 428 al. 1 CPP et 13 al. 1 du Règlement fixant le tarif des frais en matière pénale, RTFMP ; E 4 10.03). * * * * *</w:t>
      </w:r>
    </w:p>
    <w:p>
      <w:r>
        <w:t>- 9/10 - P/9109/2020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