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ACPR/495/2018 vom 13. August 2018</w:t>
      </w:r>
    </w:p>
    <w:p>
      <w:r>
        <w:t>GE Cour de justice, 2018-08-13, FR</w:t>
      </w:r>
    </w:p>
    <w:p>
      <w:r>
        <w:rPr>
          <w:b/>
        </w:rPr>
        <w:t xml:space="preserve">Quelle: </w:t>
      </w:r>
      <w:r>
        <w:t>https://mcp.opencaselaw.ch/entscheid/ge_gerichte_ACPR_495_2018</w:t>
      </w:r>
    </w:p>
    <w:p>
      <w:r>
        <w:t>FR: GE_GERICHTE ACPR/495/2018 du 13 août 2018</w:t>
      </w:r>
    </w:p>
    <w:p>
      <w:r>
        <w:t>IT: GE_GERICHTE ACPR/495/2018 del 13 agosto 2018</w:t>
      </w:r>
    </w:p>
    <w:p>
      <w:pPr>
        <w:pStyle w:val="Heading2"/>
      </w:pPr>
      <w:r>
        <w:t>Erwägungen</w:t>
      </w:r>
    </w:p>
    <w:p>
      <w:r>
        <w:rPr>
          <w:b/>
        </w:rPr>
        <w:t>E. 1</w:t>
      </w:r>
    </w:p>
    <w:p>
      <w:r>
        <w:t>Le recours est recevable pour avoir été déposé selon la forme et dans le délai prescrits – la décision querellée ayant été communiquée par pli simple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s'être interdit, en joignant dès à présent la P/1______/2016 à la P/297/2017, de rendre une nouvelle ordonnance pénale à l'issue de l'instruction complète de la première cause. Cas échéant, il aurait dû l'interpeller préalablement pour lui permettre éventuellement de retirer son opposition.</w:t>
      </w:r>
    </w:p>
    <w:p>
      <w:r>
        <w:rPr>
          <w:b/>
        </w:rPr>
        <w:t>E. 3.1</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Ainsi, les parties ont le droit de prendre connaissance de toute observation ou pièce déterminante soumise par les parties adverses, les instances inférieures ou les autres autorités et de se déterminer à son propos, dès lors qu'elle est susceptible d'influer sur le jugement à rendre (A. KUHN / Y. JEANNERET (éds), Code de procédure pénale suisse, Bâle 2011, n. 27 ad art. 107). Diverses dispositions du CPP consacrent ce droit d'être entendu en matière de participation à l'administration des preuves, tels les art. 133 al. 2 CPP (droit de proposer un avocat d'office), 143 al. 4 CPP (droit de s'exprimer sur l'objet de l'audition), 157 al. 2 CPP (droit pour le prévenu de s'exprimer sur les infractions en cause), 184 al. 3 CPP (droit de s'exprimer sur le choix de l'expert), 188 CPP (droit de se déterminer sur le rapport d'expertise) et 247 al. 1 CPP (droit de s'exprimer sur le contenu de documents et enregistrements objet d'une perquisition). L'art. 107 CPP, en tant qu'il se borne à répéter des droits essentiels de procédure consacrés à d'autres endroits du code, n'a pas une signification indépendante et autonome (L. MOREILLON / A. PAREIN- REYMOND, CPP, Code de procédure pénale, 2e éd., Bâle 2016, n. 7 ad art. 107). Lorsqu'on ne voit pas quelle influence la violation du droit d'être entendu a pu avoir</w:t>
      </w:r>
    </w:p>
    <w:p>
      <w:r>
        <w:t>- 5/9 - P/297/2017 sur la procédure, il n'y a pas lieu d'annuler la décision attaquée (arrêt du Tribunal fédéral 4A_153/2009 du 1er mai 2009 consid. 4.1 et les arrêts cités).</w:t>
      </w:r>
    </w:p>
    <w:p>
      <w:r>
        <w:rPr>
          <w:b/>
        </w:rPr>
        <w:t>E. 3.2</w:t>
      </w:r>
    </w:p>
    <w:p>
      <w:r>
        <w:t>À teneur de l'art. 29 CPP ("Principe de l'unité de la procédure"), les infractions sont poursuivies et jugées conjointement lorsqu'un prévenu a commis plusieurs infractions (al. 1 let. a) ou s'il y a plusieurs coauteurs ou participants (al. 1 let. b). Si des raisons objectives le justifient, le ministère public et les tribunaux peuvent ordonner la jonction ou la disjonction de procédures pénales (art. 30 CPP). Le principe d'unité de la procédure découle déjà de l'art. 49 CP et, sous réserve d'exceptions, s'applique à toutes les situations où plusieurs infractions, respectivement plusieurs personnes, doivent être jugées ensemble (A. KUHN / Y. JEANNERET (éds), op. cit., n. 1 ad art. 29). Ce principe tend à éviter les jugements contradictoires quant à l'état de fait, l'appréciation juridique ou la quotité de la peine. Il sert en outre l'économie de la procédure (ATF 138 IV 214 consid. 3 ; 138 IV 29 consid. 3.2). Une étroite connexité entre les infractions plaide pour une jonction (ATF 138 IV 29 consid. 5.5 = JdT 2012 IV 185).</w:t>
      </w:r>
    </w:p>
    <w:p>
      <w:r>
        <w:rPr>
          <w:b/>
        </w:rPr>
        <w:t>E. 3.3</w:t>
      </w:r>
    </w:p>
    <w:p>
      <w:r>
        <w:t>Selon l'art. 355 al. 1 CPP, en cas d'opposition (à une ordonnance pénale), le ministère public administre les autres preuves nécessaires au jugement de l'opposition.</w:t>
      </w:r>
    </w:p>
    <w:p>
      <w:r>
        <w:t>À ce stade, il n'appartient pas à l'opposant de choisir d'être ou non renvoyé devant l'autorité de jugement, mais au ministère public d'opter, aux conditions légales, en faveur du maintien de l'ordonnance pénale, du classement de la procédure, de la possibilité de porter l'accusation devant le tribunal de première instance ou d'une nouvelle ordonnance pénale (arrêt du Tribunal fédéral 6B_248/2015 du 13 mai 2015 consid. 4.3.).</w:t>
      </w:r>
    </w:p>
    <w:p>
      <w:r>
        <w:t>Il en résulte que, lorsqu'une opposition a été formée contre une ordonnance pénale, la procédure est tout d'abord reprise par le ministère public, qui conduit alors une véritable procédure préliminaire (N. SCHMID / D. JOSITSCH, Handbuch des schweizerischen Strafprozessrechts, 3e éd., Zurich 2018, note de bas de page 58 ad n. 1364; Y. JEANNERET, "Les procédures spéciales dans le Code de procédure pénale suisse", in R. PFISTER-LIECHTI (éd.), La procédure pénale fédérale, Fondation pour la formation continue des juges suisses, Berne 2010, p. 158). L'art. 355 al. 1 CPP vise donc essentiellement les cas dans lesquels une instruction préliminaire n'a pas déjà été ouverte et qu'il s'agit, en particulier, d'entendre le prévenu (G. PIQUEREZ / A. MACALUSO, Procédure pénale suisse, 3e édition, Genève 2011, n. 1729).</w:t>
      </w:r>
    </w:p>
    <w:p>
      <w:r>
        <w:t>- 6/9 - P/297/2017</w:t>
      </w:r>
    </w:p>
    <w:p>
      <w:r>
        <w:t>Cette étape achevée, ou s'il n'y a pas lieu d'administrer de preuves supplémentaires, plusieurs possibilités, énumérées à l'art. 355 al. 3 CPP, s'offrent au ministère public (Message relatif à l'unification du droit de la procédure pénale (CPP) du 21 décembre 2005, FF 2006 1275) : le ministère public décide soit (a.) de maintenir l'ordonnance pénale; (b.) de classer la procédure; (c.) de rendre une nouvelle ordonnance pénale; ou (d.) de porter l'accusation devant le tribunal de première instance (art. 355 al. 3 CPP). Si l'instruction a amené des éléments inconnus jusque-là, il optera entre les let. b, c ou d de l'art. 355 al. 3 CPP (J. PITTELOUD, Code de procédure pénale suisse - Commentaire à l'usage des praticiens, Zurich/St-Gall 2012, n. 998). Ainsi, le ministère public engagera l'accusation ou rendra une "nouvelle" ordonnance pénale – autrement dit, une autre, de contenu différent (G. PIQUEREZ / A. MACALUSO, op. cit., n. 1730) – si, à l'issue de l'instruction, la situation s'est modifiée en fait ou en droit (N. SCHMID / D. JOSITSCH, op. cit., n. 1368), soit que les faits imputés au prévenu, au sens de l'art. 353 al. 1 let. c CPP, ont changé (N. SCHMID / D. JOSITSCH, Schweizerische Strafprozessordnung : Praxiskommentar, 3e éd., Zurich 2018, n. 11 ad art. 355), soit qu'une autre qualification juridique des faits, au sens de l'art. 353 al. 1 let. d CPP, entre en considération (N. SCHMID / D. JOSITSCH, op. cit., n. 1369). C'est, évidemment, sous réserve que la sanction à intervenir reste dans les limites de l'art. 353 CPP (A. KUHN / Y. JEANNERET (éds), op. cit., n. 7 ad art. 355). Pour le surplus, il est sans importance que le prévenu soit exposé à une qualification juridique aggravée, car l'interdiction de la reformatio in pejus – qui n'englobe pas que la sanction encourue, mais aussi une modification défavorable de la qualification juridique (ATF 139 IV 282 consid. 2.5 p. 288) – ne s'applique pas en cas d'opposition à une ordonnance pénale (L. MOREILLON / A. PAREIN-REYMOND, op. cit., n. 4 ad art. 354). Enfin, tant que l'instruction étendue n'est pas terminée et que le Ministère public n'a pas pris sa décision sur la suite de la procédure, le prévenu ne peut pas valablement retirer son opposition, un tel retrait n'étant possible qu'à partir du moment où le Ministère public a fait le choix de maintenir l'ordonnance pénale, conformément aux art. 355 al. 3 let. a et 356 al. 1 CPP (ACPR/242/2018 du 27 avril 2018 consid. 2.6).</w:t>
      </w:r>
    </w:p>
    <w:p>
      <w:r>
        <w:rPr>
          <w:b/>
        </w:rPr>
        <w:t>E. 3.4</w:t>
      </w:r>
    </w:p>
    <w:p>
      <w:r>
        <w:t>En l'espèce, le Tribunal pénal, saisi de l'opposition à l'ordonnance pénale du</w:t>
      </w:r>
    </w:p>
    <w:p>
      <w:r>
        <w:rPr>
          <w:b/>
        </w:rPr>
        <w:t>E. 6</w:t>
      </w:r>
    </w:p>
    <w:p>
      <w:r>
        <w:t>Le recourant, qui succombe, supportera les frais envers l'État, qui comprendront un émolument de CHF 900.- (art. 428 al. 1 CPP et 13 al. 1 du Règlement fixant le tarif des frais en matière pénale, RTFMP ; E 4 10.03). * * * * *</w:t>
      </w:r>
    </w:p>
    <w:p>
      <w:r>
        <w:t>- 8/9 - P/297/2017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