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ACPR/492/2017 vom 17. Februar 2017</w:t>
      </w:r>
    </w:p>
    <w:p>
      <w:r>
        <w:t>GE Cour de justice, 2017-02-17, FR</w:t>
      </w:r>
    </w:p>
    <w:p>
      <w:r>
        <w:rPr>
          <w:b/>
        </w:rPr>
        <w:t xml:space="preserve">Quelle: </w:t>
      </w:r>
      <w:r>
        <w:t>https://mcp.opencaselaw.ch/entscheid/ge_gerichte_ACPR_492_2017</w:t>
      </w:r>
    </w:p>
    <w:p>
      <w:r>
        <w:t>FR: GE_GERICHTE ACPR/492/2017 du 17 février 2017</w:t>
      </w:r>
    </w:p>
    <w:p>
      <w:r>
        <w:t>IT: GE_GERICHTE ACPR/492/2017 del 17 febbraio 2017</w:t>
      </w:r>
    </w:p>
    <w:p>
      <w:pPr>
        <w:pStyle w:val="Heading2"/>
      </w:pPr>
      <w:r>
        <w:t>Erwägungen</w:t>
      </w:r>
    </w:p>
    <w:p>
      <w:r>
        <w:rPr>
          <w:b/>
        </w:rPr>
        <w:t>E. 1.1</w:t>
      </w:r>
    </w:p>
    <w:p>
      <w:r>
        <w:t>Le recours est recevable pour avoir été déposé selon la forme et dans le délai prescrits – les formalités de notification prévues à l'art. 85 al. 2 CPP n'ayant pas été respectées (art. 385 al. 1 et 396 al. 1 CPP)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L'acte de recours est suffisamment motivé et complet pour qu'un délai visant à son complètement (art. 385 al. 2 CPP) ne soit pas nécessaire.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retenu à tort qu'il n'avait pas déposé plainte pénale dans le délai légal.</w:t>
      </w:r>
    </w:p>
    <w:p>
      <w:r>
        <w:rPr>
          <w:b/>
        </w:rPr>
        <w:t>E. 3.1</w:t>
      </w:r>
    </w:p>
    <w:p>
      <w:r>
        <w:t>Lorsqu'une infraction n'est poursuivie que sur plainte, toute personne lésée peut porter plainte contre l'auteur (art. 30 al. 1 CP). Le droit de porter plainte se prescrit par trois mois, le délai courant du jour où l'ayant droit a connu l'auteur de l'infraction (art. 31 CP).</w:t>
      </w:r>
    </w:p>
    <w:p>
      <w:r>
        <w:rPr>
          <w:b/>
        </w:rPr>
        <w:t>E. 3.2</w:t>
      </w:r>
    </w:p>
    <w:p>
      <w:r>
        <w:t>En l'espèce, le recourant a déclaré à la police avoir été contacté le 13 novembre 2015 par la police, qui avait découvert son fourgon dans un lieu autre que le garage où il l'avait confié. Le délai de plainte a donc commencé à courir à cette date, de sorte qu'en déposant plainte le 19 janvier 2016, le recourant a respecté l'art. 31 CP. La plainte est donc recevable.</w:t>
      </w:r>
    </w:p>
    <w:p>
      <w:r>
        <w:rPr>
          <w:b/>
        </w:rPr>
        <w:t>E. 4</w:t>
      </w:r>
    </w:p>
    <w:p>
      <w:r>
        <w:t>Le recourant considère que l'infraction visée à l'art. 137 al. 1 ch. 2 CP est réalisée, de sorte que l'ordonnance querellée doit être annulée.</w:t>
      </w:r>
    </w:p>
    <w:p>
      <w:r>
        <w:rPr>
          <w:b/>
        </w:rPr>
        <w:t>E. 4.1</w:t>
      </w:r>
    </w:p>
    <w:p>
      <w:r>
        <w:t>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w:t>
      </w:r>
    </w:p>
    <w:p>
      <w:r>
        <w:t>- 5/8 - P/18298/2016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La variante de l'art. 137 ch. 2 al. 2 CP ne suppose aucune volonté de tirer un quelconque avantage pécuniaire de l'appropriation. Il n'est pas non plus nécessaire que l'ayant droit subisse un quelconque dommage pour que l'infraction soit réalisée Seul le strict pouvoir de disposition du propriétaire est protégé, indépendamment de toute conséquence sur le plan patrimonial (ATF 129 IV 223 consid. 7.4 = JdT 2005 IV 3 ; M. DUPUIS / L. MOREILLON / C. PIGUET / S. BERGER / M. MAZOU / V. RODIGARI (éds), Code pénal - Petit commentaire, 2ème éd., Bâle 2017, n. 14 ad art. 137 CP).</w:t>
      </w:r>
    </w:p>
    <w:p>
      <w:r>
        <w:rPr>
          <w:b/>
        </w:rPr>
        <w:t>E. 4.2</w:t>
      </w:r>
    </w:p>
    <w:p>
      <w:r>
        <w:t>En l'espèce, le mis en cause, garagiste, retient le fourgon du recourant, depuis plusieurs années, en vertu de son droit de rétention (art. 895 al. 1 et 2 CC). Pendant une durée indéterminée, le garagiste a mis le véhicule à la disposition d'un tiers, sans aucun dessein d'enrichissement. Après avoir été vandalisé, ce véhicule lui a été restitué et se trouve à nouveau au garage. Sur la base de ces faits, il existe un doute sérieux sur le fait que le mis en cause ait voulu priver durablement le recourant de sa chose, d'une part, puisqu'il semble l'avoir remise à un tiers – avoir voulu s'en "débarrasser" – momentanément, et, d'autre part, sur son intention de se l'approprier, puisqu'il l'a, depuis toutes ces années, retenue en vertu de son droit de rétention, soit jusqu'au paiement, par le recourant, des factures en souffrance. Il s'ensuit qu'il n'existe pas de prévention pénale suffisante pour justifier l'ouverture d'une instruction sur la base de l'art. 137 ch. 2 al. 2 CP.</w:t>
      </w:r>
    </w:p>
    <w:p>
      <w:r>
        <w:t>- 6/8 - P/18298/2016 Quoi qu'il en soit, même si les conditions de cette disposition devaient être réunies, l'ordonnance querellée devrait être confirmée sur la base de l'art. 52 CP, par renvoi des art. 310 al. 1 let. c et 8 al. 1 CPP, la culpabilité de l'auteur et les conséquences de son acte étant ici très peu importantes.</w:t>
      </w:r>
    </w:p>
    <w:p>
      <w:r>
        <w:rPr>
          <w:b/>
        </w:rPr>
        <w:t>E. 5</w:t>
      </w:r>
    </w:p>
    <w:p>
      <w:r>
        <w:t>Justifiée, l'ordonnance querellée sera donc confirmée.</w:t>
      </w:r>
    </w:p>
    <w:p>
      <w:r>
        <w:rPr>
          <w:b/>
        </w:rPr>
        <w:t>E. 6</w:t>
      </w:r>
    </w:p>
    <w:p>
      <w:r>
        <w:t>Le recourant, qui succombe, supportera les frais envers l'État, fixés en totalité à CHF 800.- (art. 428 al. 1 CPP et 13 al. 1 du Règlement fixant le tarif des frais en matière pénale, RTFMP ; E 4 10.03), y compris un émolument de décision. * * * * *</w:t>
      </w:r>
    </w:p>
    <w:p>
      <w:r>
        <w:t>- 7/8 - P/18298/2016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