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ACPR/491/2025 vom 28. Mai 2025</w:t>
      </w:r>
    </w:p>
    <w:p>
      <w:r>
        <w:t>GE Cour de justice, 2025-05-28, FR</w:t>
      </w:r>
    </w:p>
    <w:p>
      <w:r>
        <w:rPr>
          <w:b/>
        </w:rPr>
        <w:t xml:space="preserve">Quelle: </w:t>
      </w:r>
      <w:r>
        <w:t>https://mcp.opencaselaw.ch/entscheid/ge_gerichte_ACPR_491_2025</w:t>
      </w:r>
    </w:p>
    <w:p>
      <w:r>
        <w:t>FR: GE_GERICHTE ACPR/491/2025 du 28 mai 2025</w:t>
      </w:r>
    </w:p>
    <w:p>
      <w:r>
        <w:t>IT: GE_GERICHTE ACPR/491/2025 del 28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w:t>
      </w:r>
    </w:p>
    <w:p>
      <w:r>
        <w:t>- 7/13 - P/10208/2018 juridiquement protégé à la modification ou à l'annulation de la décision querellée (art. 382 al. 1 CPP).</w:t>
      </w:r>
    </w:p>
    <w:p>
      <w:r>
        <w:rPr>
          <w:b/>
        </w:rPr>
        <w:t>E. 2</w:t>
      </w:r>
    </w:p>
    <w:p>
      <w:r>
        <w:t>Le recourant conteste la gravité et la suffisance des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il est établi que le recourant a été interpellé par la police le 28 février 2025, dans la rue, alors qu'il détenait sur lui, sans droit, une arme à feu de type pistolet, munitionnée et chargée, ainsi qu'un poing américain, étant précisé qu'à son domicile, la police a découvert un pistolet à air comprimé pouvant être confondu avec une vraie arme à feu ainsi qu'un silencieux, un dispositif de visée et des munitions de plomb. À son domicile, la police a également découvert une plantation de cannabis et du matériel de production. Les charges apparaissent ainsi, à ce stade de l'instruction, suffisantes et graves. Que le recourant justifie la possession de ces armes et le port d'une arme chargée sur la voie publique par la nécessité de se défendre n'enlève rien à la gravité des faits – eu égard à la dangerosité évidente du comportement et à l'appétence manifeste de l'intéressé pour les armes interdites, ce d'autant que ses explications à cet égard sont particulièrement évasives. Qu'il nie ensuite s'adonner à un trafic de stupéfiants faute de matériel de conditionnement saisi, arguant que la plantation de cannabis découverte chez lui était destinée à sa seule consommation, n'est pas non plus déterminant à ce stade, eu égard aux constatations policières. Le TMC avait du reste déjà estimé dans son ordonnance de mise en détention provisoire du 2 mars 2025, contre laquelle le prévenu n'avait pas recouru, que les charges susvisées étaient suffisantes. Que l'intéressé ait eu un autre avocat à cette occasion et n'ait pas contesté cette appréciation n'y change donc rien. Enfin, contrairement à ce qu'allègue le recourant, sa détention provisoire repose sur ces nouvelles charges exclusivement.</w:t>
      </w:r>
    </w:p>
    <w:p>
      <w:r>
        <w:rPr>
          <w:b/>
        </w:rPr>
        <w:t>E. 3</w:t>
      </w:r>
    </w:p>
    <w:p>
      <w:r>
        <w:t>Le recourant conteste le risque de collusion.</w:t>
      </w:r>
    </w:p>
    <w:p>
      <w:r>
        <w:t>- 8/13 - P/10208/2018</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l'occurrence, le recourant n'a notamment pas souhaité fournir d'explications sur la manière dont il avait acquis, sans autorisation, l'arme à feu chargée dont il était porteur au moment de son interpellation, ni voulu donner l'identité de l'individu qui lui avait remis l'arme à air comprimé, le silencieux et le dispositif de visée retrouvés à son domicile. Il existe dès lors en l'état un risque de collusion concret avec le ou les fournisseurs des armes en question, dont lui seul connaît l'identité.</w:t>
      </w:r>
    </w:p>
    <w:p>
      <w:r>
        <w:t>Si la saisie de son téléphone portable a effectivement permis de sécuriser d'éventuels éléments de preuve, sous l'angle tant des infractions à la LArm que celles à la LStup, l'analyse de cet appareil, en cours, pourrait révéler en particulier l'identité des tiers impliqués (fournisseur(s) des armes et des munitions ainsi qu'éventuels acheteurs de stupéfiants, en particulier) que seul le prévenu connaît. En cas de libération, il pourrait ainsi prendre contact avec eux et entraver la manifestation de la vérité.</w:t>
      </w:r>
    </w:p>
    <w:p>
      <w:r>
        <w:t>Partant, c'est à juste titre que le TMC a retenu un risque de collusion.</w:t>
      </w:r>
    </w:p>
    <w:p>
      <w:r>
        <w:t>Celui-ci ne saurait être pallié par une interdiction de contact avec quiconque, en particulier avec d'éventuels acheteurs ou le(s) fournisseur(s) des armes et des munitions, proposée, une telle mesure, qui reposerait sur la seule volonté du recourant, étant invérifiable et donc insuffisante.</w:t>
      </w:r>
    </w:p>
    <w:p>
      <w:r>
        <w:rPr>
          <w:b/>
        </w:rPr>
        <w:t>E. 4</w:t>
      </w:r>
    </w:p>
    <w:p>
      <w:r>
        <w:t>Le recourant conteste le risque de récidive.</w:t>
      </w:r>
    </w:p>
    <w:p>
      <w:r>
        <w:rPr>
          <w:b/>
        </w:rPr>
        <w:t>E. 4.1</w:t>
      </w:r>
    </w:p>
    <w:p>
      <w:r>
        <w:t>L'art. 221 al. 1 let. c CPP, relatif au risque de récidive, dans sa nouvelle teneur au 1er janvier 2024 (RO 2023 468), présuppose désormais que l'auteur compromette</w:t>
      </w:r>
    </w:p>
    <w:p>
      <w:r>
        <w:t>- 9/13 - P/10208/2018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Lors de l'évaluation de la gravité de l'acte, il convient de prendre en compte non seulement la menace abstraite de la peine prévue par la loi, mais aussi le bien juridique concerné et le contexte, en particulier la dangerosité émanant concrètement du prévenu ou du potentiel de violence existant chez lui et pouvant résulter des circonstances de la commission de l'infraction. Cette dangerosité peut être appréciée sur la base des infractions antérieures, mais aussi des nouveaux actes qui lui sont reprochés, pour autant qu'il soit établi avec une vraisemblance suffisante qu'il les a commis (ATF 143 IV 9 consid. 2.6 et les références citées).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w:t>
      </w:r>
    </w:p>
    <w:p>
      <w:r>
        <w:t>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w:t>
      </w:r>
    </w:p>
    <w:p>
      <w:r>
        <w:t>- 10/13 - P/10208/2018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En l'espèce, le recourant a déjà été condamné en particulier à deux reprises pour infractions à l'art. 33 LArm, en 2013, et à trois reprises pour lésions corporelles simples, en 2014, 2016 et 2018. En sus des infractions reprochées constatées le 28 février 2025 – notamment la détention et le port sur la voie publique d'un pistolet chargé et d'un poing américain –, il est soupçonné, dans la présente procédure, d'avoir commis plusieurs agressions et lésions corporelles simples en 2018 ainsi qu'avoir proféré des menaces de mort en mimant le geste de tirer une balle dans la tête de ses victimes, en 2023 et 2024. À cela s'ajoute ses propos peu rassurants à l'audience du 1er mars 2025, selon lesquels il "se foutait" des autres, avait "le droit" de déambuler dans la rue avec une arme à feu chargée, était en colère et allait "se battre jusqu'à la mort".</w:t>
      </w:r>
    </w:p>
    <w:p>
      <w:r>
        <w:t>L'ensemble de ces circonstances, ajouté au désœuvrement apparent du recourant, qui est sans emploi, laisse craindre une dangerosité et un potentiel de violence concret chez lui, apte à fonder à tout le moins un risque de récidive simple au sens de l'art. 221 al. 1 let. c CPP.</w:t>
      </w:r>
    </w:p>
    <w:p>
      <w:r>
        <w:t>Aucune mesure de substitution n'entre en ligne de compte en l'état. Il y a lieu d'attendre le résultat de l'expertise psychiatrique ordonnée par le Ministère public qui, seule, permettra d'évaluer le risque de récidive et, le cas échéant, énoncer les mesures aptes à le pallier.</w:t>
      </w:r>
    </w:p>
    <w:p>
      <w:r>
        <w:rPr>
          <w:b/>
        </w:rPr>
        <w:t>E. 5</w:t>
      </w:r>
    </w:p>
    <w:p>
      <w:r>
        <w:t>Au vu des infractions dont le recourant est prévenu, si elles devaient être confirmées, la prolongation de la détention provisoire ne viole pas le principe de la proportionnalité, étant rappelé que la seule peine menace maximale de l'art. 33 LArm est une peine privative de liberté de trois ans au plus.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t>- 11/13 - P/10208/2018</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- 12/13 - P/10208/2018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