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ACPR/489/2020 vom 25. Juni 2020</w:t>
      </w:r>
    </w:p>
    <w:p>
      <w:r>
        <w:t>GE Cour de justice, 2020-06-25, FR</w:t>
      </w:r>
    </w:p>
    <w:p>
      <w:r>
        <w:rPr>
          <w:b/>
        </w:rPr>
        <w:t xml:space="preserve">Quelle: </w:t>
      </w:r>
      <w:r>
        <w:t>https://mcp.opencaselaw.ch/entscheid/ge_gerichte_ACPR_489_2020</w:t>
      </w:r>
    </w:p>
    <w:p>
      <w:r>
        <w:t>FR: GE_GERICHTE ACPR/489/2020 du 25 juin 2020</w:t>
      </w:r>
    </w:p>
    <w:p>
      <w:r>
        <w:t>IT: GE_GERICHTE ACPR/489/2020 del 25 giugno 2020</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222 et 393 al. 1 let. c CPP) et émaner du prévenu qui, partie à la procédure (art. 104 al. 1 let. a CPP), a qualité pour agir, ayant un intérêt juridiquement protégé à la modification ou à l'annulation des décisions querellées (art. 382 al. 1 CPP).</w:t>
      </w:r>
    </w:p>
    <w:p>
      <w:r>
        <w:rPr>
          <w:b/>
        </w:rPr>
        <w:t>E. 2</w:t>
      </w:r>
    </w:p>
    <w:p>
      <w:r>
        <w:t>Au regard du principe de l'économie de procédure, il se justifie de traiter ces actes dans un seul arrêt; ils seront donc joints, vu leur connexité.</w:t>
      </w:r>
    </w:p>
    <w:p>
      <w:r>
        <w:rPr>
          <w:b/>
        </w:rPr>
        <w:t>E. 3</w:t>
      </w:r>
    </w:p>
    <w:p>
      <w:r>
        <w:t>Le recourant considère que les charges sont insuffisantes.</w:t>
      </w:r>
    </w:p>
    <w:p>
      <w:r>
        <w:rPr>
          <w:b/>
        </w:rPr>
        <w:t>E. 3.1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- 11/15 - P/9113/2020</w:t>
      </w:r>
    </w:p>
    <w:p>
      <w:r>
        <w:rPr>
          <w:b/>
        </w:rPr>
        <w:t>E. 3.2</w:t>
      </w:r>
    </w:p>
    <w:p>
      <w:r>
        <w:t>En l'espèce, le recourant est prévenu de viols répétés sur sa belle-fille. Il a admis entretenir des relations sexuelles avec cette dernière trois à quatre fois par semaine depuis 2004; il soutient qu'elle était consentante voire demandeuse; elle soutient le contraire soit avoir été contrainte. Si le comportement de cette dernière a interpellé ses belles-sœurs, elle leur a cependant affirmé ne pas avoir été consentante. Le recourant est également prévenu d'avoir menacé sa belle-fille de tuer son frère, voire la famille de celle-ci; J______ a confirmé que sa belle-sœur lui avait relaté cette menace lorsque cette dernière avait voulu divorcer, peu après son mariage. Si l'allégation de viols peut surprendre dans la mesure où ces actes auraient perduré pendant 16 ans et qu'un des enfants de la plaignante pourrait être celui de son beau- père, il n'en demeure pas moins que, contrairement à ce que soutient le prévenu, sa famille n'était pas "au courant" de ce qu'ils entretenaient des relations sexuelles. On peut concevoir que d'avoir été surprise par sa belle-sœur ait donné l'occasion à la plaignante de révéler les faits dont elle accuse aujourd'hui son beau-père, elle qui soutient avoir fait l'objet de menaces répétées. On ne voit pas ce qui pousserait la plaignante à prétendre avoir été violée, qui plus est durant toutes ces années, si elle entretenait avec son beau-père une relation consentie. Les charges sont en l'état graves et suffisantes. Il n'appartient pas à la Chambre de céans de se substituer au Ministère public ou au juge du fond ni de procéder à une analyse approfondie de la crédibilité de la plaignante et des témoins qui mettent en cause le prévenu; les déclarations de la première apparaissent, à ce stade de l'instruction, crédibles.</w:t>
      </w:r>
    </w:p>
    <w:p>
      <w:r>
        <w:rPr>
          <w:b/>
        </w:rPr>
        <w:t>E. 4</w:t>
      </w:r>
    </w:p>
    <w:p>
      <w:r>
        <w:t>Le recourant conteste le risque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w:t>
      </w:r>
    </w:p>
    <w:p>
      <w:r>
        <w:rPr>
          <w:b/>
        </w:rPr>
        <w:t>E. 4.2</w:t>
      </w:r>
    </w:p>
    <w:p>
      <w:r>
        <w:t>Si Le recourant est certes de nationalité kosovare, il vit en Suisse depuis près de 40 ans, est titulaire d'un permis C et est rentier AI. S'il semble ne plus avoir de famille au Kosovo, il a cependant refusé de s'exprimer sur la propriété dont il aurait hérité de son père; en outre, il se rend très régulièrement dans son pays. Il n'est ainsi pas exclu que face aux accusations, dont la crédibilité ne peut être remise en question uniquement parce qu'il les conteste, aux relations visiblement conflictuelles qu'il</w:t>
      </w:r>
    </w:p>
    <w:p>
      <w:r>
        <w:t>- 12/15 - P/9113/2020 entretient avec ses enfants, au fait qu'il est séparé de son épouse dont on peut douter qu'elle accepterait encore qu'il demeure dans l'appartement conjugal, le recourant décide de rentrer dans son pays voire disparaisse, dans la clandestinité.</w:t>
      </w:r>
    </w:p>
    <w:p>
      <w:r>
        <w:rPr>
          <w:b/>
        </w:rPr>
        <w:t>E. 5</w:t>
      </w:r>
    </w:p>
    <w:p>
      <w:r>
        <w:t>Il conteste également l'existence d'un risque de collusion concret.</w:t>
      </w:r>
    </w:p>
    <w:p>
      <w:r>
        <w:rPr>
          <w:b/>
        </w:rPr>
        <w:t>E. 5.1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 Dans cet examen, entrent en ligne de compte les caractéristiques personnelles du détenu, son rôle dans l'infraction ainsi que ses liens avec les autres prévenus. Lorsque l'instruction est terminée, l'autorité doit procéder à un examen particulièrement attentif du risque de collusion (ATF 137 IV 122 consid. 4.2 p. 127 s. ; 132 I 21 consid. 3.2 p. 23 et les références citées).</w:t>
      </w:r>
    </w:p>
    <w:p>
      <w:r>
        <w:rPr>
          <w:b/>
        </w:rPr>
        <w:t>E. 5.2</w:t>
      </w:r>
    </w:p>
    <w:p>
      <w:r>
        <w:t>Les indices d'infractions de viols et menaces se fondent essentiellement sur les déclarations de la belle-fille du prévenu. Il existe dès lors un intérêt évident à éviter toute influence sur cette dernière, puisque ses déclarations sont décisives s'agissant de l'issue de la procédure. Même si elle a été entendue par la police et le Ministère public, il est probable qu'elle soit à nouveau interrogée lors des débats de fond. Il est ainsi concrètement à craindre que le prévenu tente, s'il était remis en liberté, de la faire se rétracter.</w:t>
      </w:r>
    </w:p>
    <w:p>
      <w:r>
        <w:rPr>
          <w:b/>
        </w:rPr>
        <w:t>E. 6</w:t>
      </w:r>
    </w:p>
    <w:p>
      <w:r>
        <w:t>Ces risques étant suffisants, chacun pour eux-mêmes, il n'est pas nécessaire d'examiner le risque de réitération, voire de passage à l'acte, également retenu par le TMC.</w:t>
      </w:r>
    </w:p>
    <w:p>
      <w:r>
        <w:rPr>
          <w:b/>
        </w:rPr>
        <w:t>E. 7</w:t>
      </w:r>
    </w:p>
    <w:p>
      <w:r>
        <w:t>Le recourant estime que les mesures de substitution proposées sont de nature à pallier ces risques.</w:t>
      </w:r>
    </w:p>
    <w:p>
      <w:r>
        <w:t>- 13/15 - P/9113/2020 Force est de considérer que le recourant n'a pas d'autre domicile que celui où il vivait jusqu'à son arrestation. La proposition de E______ de loger le prévenu chez lui à F______ en Valais n'a pas pu être vérifiée sérieusement par la justice. En effet, le prévenu a remis un email contenant cet accord d'hébergement, le 24 mai 2020, jour de la décision du Ministère public de proposer des mesures de substitution. En outre, ce document a été envoyé de la messagerie d'un dénommé P______ dont on ignore tout également. Il conviendrait, dès lors, qu'il fournisse de plus amples renseignements à l'appui, lesquels pourront être, cas échéant, vérifiés par le Ministère public. En outre, compte tenu du risque de collusion concret, tant que l'expert ne se sera pas prononcé notamment sur la capacité du prévenu de menacer la plaignante dans le but qu'elle modifie ses déclarations, une mise en liberté, même sous mesure de substitution, apparaît prématurée.</w:t>
      </w:r>
    </w:p>
    <w:p>
      <w:r>
        <w:rPr>
          <w:b/>
        </w:rPr>
        <w:t>E. 8</w:t>
      </w:r>
    </w:p>
    <w:p>
      <w:r>
        <w:t>Le recours s'avère ainsi infondé et doit être rejeté.</w:t>
      </w:r>
    </w:p>
    <w:p>
      <w:r>
        <w:rPr>
          <w:b/>
        </w:rPr>
        <w:t>E. 9</w:t>
      </w:r>
    </w:p>
    <w:p>
      <w:r>
        <w:t>Le recourant, qui succombe, supportera les frais envers l'État, qui comprendront un émolument de CHF 900.- (art. 428 al. 1 CPP et 13 al. 1 du Règlement fixant le tarif des frais en matière pénale, RTFMP ; E 4 10.03).</w:t>
      </w:r>
    </w:p>
    <w:p>
      <w:r>
        <w:t>* * * * *</w:t>
      </w:r>
    </w:p>
    <w:p>
      <w:r>
        <w:t>- 14/15 - P/9113/2020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