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ACPR/488/2019 vom 10. Dezember 2018</w:t>
      </w:r>
    </w:p>
    <w:p>
      <w:r>
        <w:t>GE Cour de justice, 2018-12-10, FR</w:t>
      </w:r>
    </w:p>
    <w:p>
      <w:r>
        <w:rPr>
          <w:b/>
        </w:rPr>
        <w:t xml:space="preserve">Quelle: </w:t>
      </w:r>
      <w:r>
        <w:t>https://mcp.opencaselaw.ch/entscheid/ge_gerichte_ACPR_488_2019</w:t>
      </w:r>
    </w:p>
    <w:p>
      <w:r>
        <w:t>FR: GE_GERICHTE ACPR/488/2019 du 10 décembre 2018</w:t>
      </w:r>
    </w:p>
    <w:p>
      <w:r>
        <w:t>IT: GE_GERICHTE ACPR/488/2019 del 10 dicembre 2018</w:t>
      </w:r>
    </w:p>
    <w:p>
      <w:pPr>
        <w:pStyle w:val="Heading2"/>
      </w:pPr>
      <w:r>
        <w:t>Erwägungen</w:t>
      </w:r>
    </w:p>
    <w:p>
      <w:r>
        <w:rPr>
          <w:b/>
        </w:rPr>
        <w:t>E. 1</w:t>
      </w:r>
    </w:p>
    <w:p>
      <w:r>
        <w:t>Conformément à l'art. 128 al. 2 let. a et al. 3 LOJ, la Chambre de céans exerce les compétences que le CPP et la LaCP lui attribuent. En vertu de la délégation figurant à l'art. 439 al. 1 CPP, le législateur genevois a attribué à la Chambre pénale de recours la compétence de statuer sur les recours dirigés contre les décisions rendues par le DSE, ses offices et ses services, les art. 379 à 397 CPP s'appliquant par analogie (art. 42 al. 1 let. a LaCP). Le recours est, en l'espèce, dirigé contre une décision rendue par le SAPEM, dans une matière pour laquelle il est compétent (art. 5 al. 2 let. e et i et al. 5 LaCP; ATF 142 IV 1 consid. 2), a été déposé dans le délai et la forme prescrits (art. 393 et 396 CPP) et émane du condamné visé par la décision querellée, qui a un intérêt juridiquement protégé à l'annulation de la décision entreprise (art. 382 al. 1 CPP). Le recours sera donc déclaré recevable à la forme.</w:t>
      </w:r>
    </w:p>
    <w:p>
      <w:r>
        <w:rPr>
          <w:b/>
        </w:rPr>
        <w:t>E. 2</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w:t>
      </w:r>
    </w:p>
    <w:p>
      <w:r>
        <w:t>- 10/14 - PS/82/2018 condamné commette d'autres infractions dans l'établissement ou en dehors de celui-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 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peur que le condamné puisse représenter une menace envers les tiers une fois en liberté. Il s'agit ici de la dangerosité externe du prévenu (arrêt du Tribunal fédéral 6B_372/2012 du 27 septembre 2012 consid. 2.3; 6B_517/2012 du 21 janvier 2013 consid. 3.1.2; R. ROTH / L. MOREILLON (éds), Code pénal I : art. 1-100 CP, Bâle 2009, n. 28 ad art. 59).</w:t>
      </w:r>
    </w:p>
    <w:p>
      <w:r>
        <w:rPr>
          <w:b/>
        </w:rPr>
        <w:t>E. 3</w:t>
      </w:r>
    </w:p>
    <w:p>
      <w:r>
        <w:t>En l'espèce, le recourant considère ne pas présenter des risques qualifiés de fuite et de récidive. S'agissant de la remise du rapport du 13 juillet 2018 du SMI à la CED, le SAPEM affirme l'avoir transmis à réception et il n'y a aucune raison d'en douter. Le risque de fuite est établi; alors qu'il était au bénéfice d'un traitement en milieu ouvert, le recourant a fui la Suisse en août 2017 pour n'être réincarcéré qu'en janvier 2018 à D______ après avoir été extradé du Luxembourg. Il est depuis lors à nouveau placé en milieu fermé, de sorte que l'on ne peut dès lors pas considérer que le recourant n'a plus l'intention de fuir faute d'être en situation de le faire. Il est cependant établi que, durant cette période, il a continué le traitement lui permettant de stabiliser son état et n'a fait l'objet d'aucune condamnation inscrite aux casiers judiciaires luxembourgeois et allemand. Il n'apparaît ainsi pas qu'il ait présenté une menace pour des tiers pendant cette période. Cependant, rien au dossier ne permet de déterminer quand il aurait été interpelé par les autorités</w:t>
      </w:r>
    </w:p>
    <w:p>
      <w:r>
        <w:t>- 11/14 - PS/82/2018 luxembourgeoises ni combien de temps aurait duré la procédure d'extradition. Ce faisant, la Chambre de céans n'est pas en mesure d'apprécier la part prise par sa propre volonté de ne pas consommer et celle de la mesure carcérale. L'évaluation criminologique du 24 mars 2016 avait relevé que le risque de récidive en matière d'infractions à la loi sur les stupéfiants était élevé notamment au regard de son souci, régulièrement manifesté, de venir en aide financièrement à sa famille. Il a été constaté que le recourant avait consommé régulièrement du cannabis lorsqu'il était en milieu ouvert à E______ et avait même été condamné pour avoir vendu des stupéfiants en mai 2017. Si depuis son placement en milieu fermé, en janvier 2018, il apparaissait vraisemblable qu'il n'ait pas consommé de substance, il a néanmoins été sanctionné peu après son arrivée aux B______, qui même en milieu fermé connait un régime moins strict que D______, ayant été testé positif au cannabis. Il est fortement à craindre qu'il recherche le gain facile dans le milieu de la consommation de drogue et ne se remette à consommer des substances, s'il était remis prématurément en milieu ouvert. Or cette consommation est un facteur aggravant de réitération et, donc, de dangerosité. Dans ce contexte, le risque de récidive est bien réel. L'expérience du passage à F______ en janvier 2017 démontre que la situation est susceptible de se dégrader rapidement, surtout face à une frustration comme ce fut le cas à la suite du jugement du 10 janvier 2017 du TAPEM. Le rapport du 12 juin 2017 de G______ fait état, outre de nombreuses violations réglementaires, de comportements menaçants et provocateurs envers certains membres du personnel. Si son comportement a été adéquat à D______ depuis janvier 2018, c'est probablement, comme le relève le rapport du SMP du 18 avril 2018, lié au contexte de vie plus contraignant à D______. Aucun rapport des B______ n'a été versé à la procédure. Le placement en milieu fermé est dès lors un moyen approprié de parvenir à une stabilisation de l'état du recourant et, partant, à prévenir les risques de récidive et de fuite. Le passage en milieu ouvert est, en l'état, prématuré.</w:t>
      </w:r>
    </w:p>
    <w:p>
      <w:r>
        <w:rPr>
          <w:b/>
        </w:rPr>
        <w:t>E. 4</w:t>
      </w:r>
    </w:p>
    <w:p>
      <w:r>
        <w:t>Justifiée,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rPr>
          <w:b/>
        </w:rPr>
        <w:t>E. 6</w:t>
      </w:r>
    </w:p>
    <w:p>
      <w:r>
        <w:t>Le recourant sollicite l'assistance juridique et la nomination de Me C______ comme avocat d'office pour la procédure de recours.</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w:t>
      </w:r>
    </w:p>
    <w:p>
      <w:r>
        <w:t>- 12/14 - PS/82/2018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chef d'étude est rémunéré au tarif de CHF 200.-/heure débours de l'étude inclus.</w:t>
      </w:r>
    </w:p>
    <w:p>
      <w:r>
        <w:rPr>
          <w:b/>
        </w:rPr>
        <w:t>E. 6.2</w:t>
      </w:r>
    </w:p>
    <w:p>
      <w:r>
        <w:t>En l'espèce, le recourant, détenu dans le cadre de l'exécution d'une mesure, est vraisemblablement indigent. Sa pathologie et l'importance de la cause, compte tenu de l'enjeu d'un passage en milieu fermé, commandent qu'il soit assisté d'un avocat. Il en résulte que la demande de nomination de Me C______ en qualité d'avocat d'office, et, partant, de l'assistance judiciaire, sera accordée avec effet au 19 décembre 2018, date de la procuration. L'état de frais produit, soit 9h30 d'activité apparaît excessif au regard du travail accompli, dont une partie avant le bénéfice de l'assistance judiciaire, et nécessaire à la défense des intérêts du recourant. En application des principes exposés, la Chambre de céans estime ainsi adéquat d'arrêter le temps nécessaire à la défense des intérêts du recourant à 5 heures d'activité au tarif de CHF 200.- (art. 16 al. 2 RAJ). L'indemnité due au défenseur d'office sera dès lors fixée à CHF 1'077.- (TVA à 7.7% comprise; art. 421 al. 1 CPP). * * * * *</w:t>
      </w:r>
    </w:p>
    <w:p>
      <w:r>
        <w:t>- 13/14 - PS/82/2018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