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ACPR/486/2023 vom 23. Mai 2023</w:t>
      </w:r>
    </w:p>
    <w:p>
      <w:r>
        <w:t>GE Cour de justice, 2023-05-23, FR</w:t>
      </w:r>
    </w:p>
    <w:p>
      <w:r>
        <w:rPr>
          <w:b/>
        </w:rPr>
        <w:t xml:space="preserve">Quelle: </w:t>
      </w:r>
      <w:r>
        <w:t>https://mcp.opencaselaw.ch/entscheid/ge_gerichte_ACPR_486_2023</w:t>
      </w:r>
    </w:p>
    <w:p>
      <w:r>
        <w:t>FR: GE_GERICHTE ACPR/486/2023 du 23 mai 2023</w:t>
      </w:r>
    </w:p>
    <w:p>
      <w:r>
        <w:t>IT: GE_GERICHTE ACPR/486/2023 del 23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- 5/7 - P/25233/2022</w:t>
      </w:r>
    </w:p>
    <w:p>
      <w:r>
        <w:rPr>
          <w:b/>
        </w:rPr>
        <w:t>E. 2</w:t>
      </w:r>
    </w:p>
    <w:p>
      <w:r>
        <w:t>S'agissant des charges suffisantes et graves, au sens de l'art. 221 al. 1 CPP, il peut être renvoyé, en tant que de besoin, à la motivation adoptée par le premier juge (art. 82 al. 4 CPP; ACPR/747/2020 du 22 octobre 2020 consid. 2 et les références), qui expose les indices graves pesant sur le prévenu. En particulier, qu'il soutienne ne pas connaître H______ ne diminue en rien les charges pesant contre lui au vu de la quantité de drogues trouvée dans le logement qu'il louait depuis 2018 et des traces de son ADN retrouvés sur les cartes SIM ayant fait l'objet de mesures secrètes.</w:t>
      </w:r>
    </w:p>
    <w:p>
      <w:r>
        <w:rPr>
          <w:b/>
        </w:rPr>
        <w:t>E. 3</w:t>
      </w:r>
    </w:p>
    <w:p>
      <w:r>
        <w:t>Le recourant ne conteste pas les risques retenus par le TMC. À juste titre, le risque de fuite, en particulier, est très concret vu sa nationalité étrangère et son absence d'attaches en Suisse.</w:t>
      </w:r>
    </w:p>
    <w:p>
      <w:r>
        <w:rPr>
          <w:b/>
        </w:rPr>
        <w:t>E. 4</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4.1</w:t>
      </w:r>
    </w:p>
    <w:p>
      <w:r>
        <w:t>En l'espèce, aucune mesure de substitution n'est apte à pallier les risques retenus par le TMC et le prévenu n'en propose d'ailleurs aucune.</w:t>
      </w:r>
    </w:p>
    <w:p>
      <w:r>
        <w:rPr>
          <w:b/>
        </w:rPr>
        <w:t>E. 5</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Il n'y a pas lieu d'indemniser son conseil nommé d'office, le recourant ayant agi personnellement. * * * * *</w:t>
      </w:r>
    </w:p>
    <w:p>
      <w:r>
        <w:t>- 6/7 - P/25233/2022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