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ACPR/484/2023 vom 30. Mai 2023</w:t>
      </w:r>
    </w:p>
    <w:p>
      <w:r>
        <w:t>GE Cour de justice, 2023-05-30, FR</w:t>
      </w:r>
    </w:p>
    <w:p>
      <w:r>
        <w:rPr>
          <w:b/>
        </w:rPr>
        <w:t xml:space="preserve">Quelle: </w:t>
      </w:r>
      <w:r>
        <w:t>https://mcp.opencaselaw.ch/entscheid/ge_gerichte_ACPR_484_2023</w:t>
      </w:r>
    </w:p>
    <w:p>
      <w:r>
        <w:t>FR: GE_GERICHTE ACPR/484/2023 du 30 mai 2023</w:t>
      </w:r>
    </w:p>
    <w:p>
      <w:r>
        <w:t>IT: GE_GERICHTE ACPR/484/2023 del 30 maggio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retenues. Il n'y a donc pas à s'y attarder, mais à renvoyer, en tant que de besoin, à la motivation adoptée par le premier juge (art 82 al. 4 CPP; ACPR/747/2020 du 22 octobre 2020 consid. 2 et les références) qui expose les indices graves et concordants pesant sur le prévenu.</w:t>
      </w:r>
    </w:p>
    <w:p>
      <w:r>
        <w:rPr>
          <w:b/>
        </w:rPr>
        <w:t>E. 3</w:t>
      </w:r>
    </w:p>
    <w:p>
      <w:r>
        <w:t>Le recourant conteste le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les audiences de confrontation ont été effectuées. Le risque de collusion – même atténué – ne demeure pas moins concret, en particulier vis-à-vis de</w:t>
      </w:r>
    </w:p>
    <w:p>
      <w:r>
        <w:t>- 5/9 - P/20508/2021 C______, lequel a procédé pour lui à des livraisons. Le recourant pourrait ainsi profiter de sa liberté pour entrer en contact avec son ami et accorder leurs versions en vue de l'audience de jugement, notamment sur les éléments issus des écoutes téléphoniques.</w:t>
      </w:r>
    </w:p>
    <w:p>
      <w:r>
        <w:rPr>
          <w:b/>
        </w:rPr>
        <w:t>E. 4</w:t>
      </w:r>
    </w:p>
    <w:p>
      <w:r>
        <w:t>Le recourant conteste le risque de réitération.</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w:t>
      </w:r>
    </w:p>
    <w:p>
      <w:r>
        <w:rPr>
          <w:b/>
        </w:rPr>
        <w:t>E. 4.2</w:t>
      </w:r>
    </w:p>
    <w:p>
      <w:r>
        <w:t>En l'occurrence, les infractions reprochées au recourant, à savoir son implication dans un trafic d'envergure de cocaïne et de cannabis, sont suffisamment graves pour qu'un risque de récidive puisse être retenu. À cela s'ajoute que le prévenu a déjà été condamné pour une affaire de stupéfiants en juin 2018 à une peine pécuniaire avec sursis, ce qui ne l'a pas pour autant dissuadé de se livrer à nouveau à un trafic de drogue, cette fois de plus grande ampleur. Partant, il existe un risque de réitération concret, accentué par la situation financière précaire du recourant qui ne dispose en l'état d'aucun contrat de travail, la promesse d'emploi produite étant insuffisante.</w:t>
      </w:r>
    </w:p>
    <w:p>
      <w:r>
        <w:t>- 6/9 - P/20508/2021</w:t>
      </w:r>
    </w:p>
    <w:p>
      <w:r>
        <w:rPr>
          <w:b/>
        </w:rPr>
        <w:t>E. 5</w:t>
      </w:r>
    </w:p>
    <w:p>
      <w:r>
        <w:t>Ce qui précède rend superflu l’examen du risque de fuite (arrêt du Tribunal fédéral 1B_51/2021 du 31 mars 2021 consid. 3.1. et les références).</w:t>
      </w:r>
    </w:p>
    <w:p>
      <w:r>
        <w:rPr>
          <w:b/>
        </w:rPr>
        <w:t>E. 6</w:t>
      </w:r>
    </w:p>
    <w:p>
      <w:r>
        <w:t>Le recourant estime que les risques de collusion et de réitération pourraient être palliés par des mesures de substitution.</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 documents d'identité et d'autres documents officiels (al. 2 let. b), l'assignation à résidence ou l'interdiction de se rendre dans un certain lieu ou un certain immeuble (al. 2 let. c), l'obligation de se présenter régulièrement à un service administratif (al. 2 let. d), l'obligation d'avoir un travail régulier (al. 2 let. e), l'interdiction d'entretenir des relations avec certaines personnes (al. 2 let. g). La liste des mesures de substitution énoncée à l'art. 237 CPP n'est pas exhaustive (arrêt du Tribunal fédéral 1B_654/2011 du 7 décembre 2011 consid. 4.2).</w:t>
      </w:r>
    </w:p>
    <w:p>
      <w:r>
        <w:rPr>
          <w:b/>
        </w:rPr>
        <w:t>E. 6.2</w:t>
      </w:r>
    </w:p>
    <w:p>
      <w:r>
        <w:t>Aucune mesure de substitution n'est envisageable. La seule interdiction de contacter les autres participants au trafic est difficilement contrôlable et manifestement insuffisante pour écarter le risque de collusion retenu. En outre, il parait peu crédible qu'une obligation de travailler pourrait empêcher le recourant de récidiver, sachant qu'il avait déjà un emploi au moment de la commission des faits reprochés. Les autres mesures proposées (dépôt d'une caution, port du bracelet électronique, dépôt des papiers d'identité et obligation de se présenter dans un poste de police) se rapportent au risque de fuite, non examiné en l'état.</w:t>
      </w:r>
    </w:p>
    <w:p>
      <w:r>
        <w:rPr>
          <w:b/>
        </w:rPr>
        <w:t>E. 7</w:t>
      </w:r>
    </w:p>
    <w:p>
      <w:r>
        <w:t>La durée de la détention à ce stade ne paraît pas excéder la peine concrètement encourue par le recourant (art. 212 al. 3 CPP), s’il était reconnu coupable des infractions reprochées par le Ministère public. Ni lui ni son conseil d’office ne prétendent le contraire.</w:t>
      </w:r>
    </w:p>
    <w:p>
      <w:r>
        <w:rPr>
          <w:b/>
        </w:rPr>
        <w:t>E. 8</w:t>
      </w:r>
    </w:p>
    <w:p>
      <w:r>
        <w:t>Le recours s'avère ainsi infondé et doit être rejeté.</w:t>
      </w:r>
    </w:p>
    <w:p>
      <w:r>
        <w:rPr>
          <w:b/>
        </w:rPr>
        <w:t>E. 9</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t>- 7/9 - P/20508/2021</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r>
        <w:t>- 8/9 - P/20508/2021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