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ACPR/482/2026 vom 18. Mai 2026</w:t>
      </w:r>
    </w:p>
    <w:p>
      <w:r>
        <w:t>GE Cour de justice, 2026-05-18, FR</w:t>
      </w:r>
    </w:p>
    <w:p>
      <w:r>
        <w:rPr>
          <w:b/>
        </w:rPr>
        <w:t xml:space="preserve">Quelle: </w:t>
      </w:r>
      <w:r>
        <w:t>https://mcp.opencaselaw.ch/entscheid/ge_gerichte_ACPR_482_2026</w:t>
      </w:r>
    </w:p>
    <w:p>
      <w:r>
        <w:t>FR: GE_GERICHTE ACPR/482/2026 du 18 mai 2026</w:t>
      </w:r>
    </w:p>
    <w:p>
      <w:r>
        <w:t>IT: GE_GERICHTE ACPR/482/2026 del 18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soupçonné par la police</w:t>
      </w:r>
    </w:p>
    <w:p>
      <w:r>
        <w:t>- 5/11 - P/10011/2026 d'avoir commis une infraction susceptible d'être élucidée au moyen de l'ADN, soit une infraction à l'art. 19 LStup.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w:t>
      </w:r>
    </w:p>
    <w:p>
      <w:r>
        <w:t>- 6/11 - P/10011/2026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l'infraction en cours d'instruction, mais d'autres actes contraires à la LStup, dès lors qu'il avait déjà été soupçonné pour des faits similaires. Dans son recours, le recourant ne prétend pas que les conditions de l’art. 255 al. 1bis CPP ne seraient pas réalisées, au vu de ses précédentes condamnations pour des délits contre la loi sur les stupéfiants. Ce nonobstant, force est de constater qu'il existe des indices sérieux et concrets de la commission, par le recourant, de tels actes punissables. Le recourant a été interpellé par la police, le 25 avril 2026, dans le quartier des Pâquis, après avoir été observé en train de vendre une boulette de cocaïne à un toxicomane, faits qu'il a au demeurant admis. Quelques mois plus tôt, soit 13 novembre 2025, il avait déjà été interpellé, dans ce même quartier, en possession d’un morceau de haschich d’un poids de 1.3 gramme, d’un téléphone portable et d’espèces (CHF 290.70 et EUR 14.90), après avoir été observé en train de se rendre dans un hôtel, accompagné d'un toxicomane, faits pour lesquels il a été déclaré coupable de délit contre les stupéfiants par jugement du Tribunal de police du 24 mars 2026. Outre le 24 mars 2026, le recourant avait déjà été condamné, le 12 mars 2021, pour ce même délit contre la loi sur les stupéfiants. Ces deux condamnations à la LStup vont de pair avec des condamnations répétées pour des infractions à la législation sur les étrangers (8 et 12 mars 2021, 8 novembre 2021 et 31 octobre 2023), même s'il est vrai qu'aucune telle infraction n'a été retenue en lien avec sa dernière entrée en Suisse, dans la mesure où il était cette fois en possession d'un titre de séjour espagnol. Ces éléments laissent très sérieusement craindre un ancrage dans la délinquance liée aux stupéfiants et permettent de penser que l'intéressé pourrait être impliqué dans d'autres infractions à la LStup encore inconnues des autorités, lesquelles pourraient lui être attribuées si l'on était en mesure de comparer son profil d'ADN à des traces prélevées sur les lieux de leur commission. Cette situation n'est pas comparable à celles que le Tribunal fédéral a été amené à trancher récemment (arrêts 7B_529/2026 du 26 janvier 2026 et 7B_948/2025 du</w:t>
      </w:r>
    </w:p>
    <w:p>
      <w:r>
        <w:t>- 7/11 - P/10011/2026 16 avril 2026), pour plusieurs raisons. Dans les affaires en question, l'intéressé n'avait, soit aucune condamnation pour infraction à l'art. 19 al. 1 LStup inscrite à son casier judiciaire (7B_529/2026), soit des condamnations, mais anciennes, remontant à huit ans (7B_948/2025). Tel n'est pas le cas en l'espèce, le recourant ayant plusieurs antécédents à teneur de son casier judiciaire, dont deux récents pour des délits contre la loi sur les stupéfiants, l'un d'entre eux remontant au 24 mars 2026 seulement. De plus, bien que le recourant eût formé opposition contre l'ordonnance pénale du 26 avril 2026, il a admis avoir vendu ce jour-là une boulette de cocaïne au prix de CHF 30.-, étant par ailleurs relevé qu'il a été retrouvé en possession de CHF 387.70, les explications qu'il a fournies quant à la provenance de cet argent n'étant nullement étayées.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(arrêt du Tribunal fédéral 7B_584/2025 du 9 mars 2026 consid. 2.5).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un délit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Dès lors qu'il importe peu que le profil d'ADN du recourant ait déjà été ordonné à une ou plusieurs reprises par le passé, il ne sera pas donné suite à sa demande tendant à ce qu'une liste de tous les établissements de son profil d'ADN effectués par le passé soit versée à la procédure. Le recourant invoque encore le droit à être protégé contre l'emploi abusif des données qui le concernent (art. 8 CEDH et art. 13 al. 2 Cst. féd.). Or, on ne voit pas en quoi le nouvel établissement de son profil d'ADN pourrait constituer un tel emploi abusif,</w:t>
      </w:r>
    </w:p>
    <w:p>
      <w:r>
        <w:t>- 8/11 - P/10011/2026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26 avril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Corrélativement, aucun dépens ne lui sera alloué (ATF 144 IV 207, consid 1.8.2). * * * * *</w:t>
      </w:r>
    </w:p>
    <w:p>
      <w:r>
        <w:t>- 10/11 - P/10011/2026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