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ACPR/482/2024 vom 6. Juni 2024</w:t>
      </w:r>
    </w:p>
    <w:p>
      <w:r>
        <w:t>GE Cour de justice, 2024-06-06, FR</w:t>
      </w:r>
    </w:p>
    <w:p>
      <w:r>
        <w:rPr>
          <w:b/>
        </w:rPr>
        <w:t xml:space="preserve">Quelle: </w:t>
      </w:r>
      <w:r>
        <w:t>https://mcp.opencaselaw.ch/entscheid/ge_gerichte_ACPR_482_2024</w:t>
      </w:r>
    </w:p>
    <w:p>
      <w:r>
        <w:t>FR: GE_GERICHTE ACPR/482/2024 du 6 juin 2024</w:t>
      </w:r>
    </w:p>
    <w:p>
      <w:r>
        <w:t>IT: GE_GERICHTE ACPR/482/2024 del 6 giugno 2024</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la suffisance des charges retenues à son encontre, même s'il conteste certains faits. Partant, il n'y a pas lieu de s'y attarder et il peut être renvoyé, en tant que de besoin, à la motivation adoptée par le premier juge sur ce point (art 82 al. 4 CPP; ACPR/747/2020 du 22 octobre 2020 consid. 2 et les références), laquelle expose les indices graves et concordants pesant sur le prévenu. Ce dernier conteste les risques retenus par le TMC, lesquels pouvaient, le cas échéant, être palliés par des mesures de substitution.</w:t>
      </w:r>
    </w:p>
    <w:p>
      <w:r>
        <w:rPr>
          <w:b/>
        </w:rPr>
        <w:t>E. 3</w:t>
      </w:r>
    </w:p>
    <w:p>
      <w:r>
        <w:t>S'agissant du risque de collusion, l'instruction apparaît désormais close, sous réserve d'éventuelles réquisitions de preuves des parties, un avis de prochaine clôture ayant été rendu.</w:t>
      </w:r>
    </w:p>
    <w:p>
      <w:r>
        <w:t>Les protagonistes et les victimes ont été entendus sur l'ensemble des faits reprochés. Certes, le butin du 26 février 2024 n'a pas été retrouvé. Rien ne permet cependant d'affirmer qu'il aurait été dissimulé par l'un ou l'autre protagonistes, les perquisitions n'ayant rien révélé. Le prévenu a en outre admis les faits du jour en question, y compris avoir revendu la montre de J______. Partant, le risque de collusion peut désormais être écarté.</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w:t>
      </w:r>
    </w:p>
    <w:p>
      <w:r>
        <w:t>- 9/13 - P/5839/2024 Selon la jurisprudence relative à l'art. 221 al. 1 let. c aCPP (dans sa teneur en vigueur jusqu'au 31 décembre 2023 [RO 2010 1881]) – transposable au nouveau droit (cf. arrêt du Tribunal fédéral 7B_155/2024, précité,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arrêts du Tribunal fédéral 7B_155/2024 du 5 mars 2024, destiné à la publication, consid. 3.2 et 7B_1025/2023 du 23 janvier 2024 consid. 3.2). Comme il est renoncé à toute infraction préalable (le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t>- 10/13 - P/5839/2024</w:t>
      </w:r>
    </w:p>
    <w:p>
      <w:r>
        <w:rPr>
          <w:b/>
        </w:rPr>
        <w:t>E. 4.3</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w:t>
      </w:r>
    </w:p>
    <w:p>
      <w:r>
        <w:rPr>
          <w:b/>
        </w:rPr>
        <w:t>E. 4.4</w:t>
      </w:r>
    </w:p>
    <w:p>
      <w:r>
        <w:t>En l'espèce, si le recourant n'a certes été condamné qu'à deux reprises, en 2023 et 2024, à des amendes pour excès de vitesse, ces antécédents révèlent son inclination pour ce type d'infraction. Or, il lui est précisément reproché, ici, notamment un grand nombre d'infractions graves à la LCR susceptibles de mettre en danger la vie ou l'intégrité physique des autres usagers de la route, commises à réitérées reprises sur une assez courte période et nonobstant une précédente condamnation en France, qu'il conteste, ce qui semble dénoter chez lui une absence totale de prise de conscience. Que sa mère ait vendu sa moto n'y change rien, les infractions visées pouvant parfaitement être commises au moyen de véhicules appartenant à des tiers. Les deux brigandages et la tentative de brigandage qui lui sont reprochés, les 22 et 26 février 2024, constituent par ailleurs des infractions graves à l'intégrité d'autrui, étant précisé que le recourant admet non seulement avoir commis les actes du 26 février 2024 mais encore déclaré qu'il les avait planifiés avec son co-prévenu. Peu importe dès lors que ce soit ce dernier qui aurait frappé J______. Nonobstant les excuses du recourant à l'endroit des victimes et sa volonté de vouloir les indemniser, la répétition de ces actes mettant en danger l'intégrité physique d'autrui et la violence déployée font craindre que le recourant, s'il devait se retrouver en liberté, commette à nouveaux des infractions du même type. Rien n'indique en effet qu'à sa sortie, l'emploi qui lui a été promis soit encore d'actualité. Il s'agirait en outre d'un emploi à 50%, selon le contrat de travail produit, ce qui laisserait toujours le recourant en partie désoeuvré et sans ressources financières suffisantes. Les autres mesures de substitution proposées ne sont pas aptes à pallier ce risque.</w:t>
      </w:r>
    </w:p>
    <w:p>
      <w:r>
        <w:rPr>
          <w:b/>
        </w:rPr>
        <w:t>E. 5</w:t>
      </w:r>
    </w:p>
    <w:p>
      <w:r>
        <w:t>Le risque de réitération étant réalisé, l'autorité de recours peut se dispenser d'examiner si le risque de fuite l'est également (arrêt du Tribunal fédéral 7B_188/2024 du 12 mars 2024 consid. 6.3.1).</w:t>
      </w:r>
    </w:p>
    <w:p>
      <w:r>
        <w:rPr>
          <w:b/>
        </w:rPr>
        <w:t>E. 6</w:t>
      </w:r>
    </w:p>
    <w:p>
      <w:r>
        <w:t>Au vu de la peine menace et concrètement encourue, si le recourant devait être reconnu coupable de tous les chefs d'infraction, le refus de mise en liberté ordonné ne viole pas le principe de la proportionnalité (art. 97 al. 1 et 212 al. 3 CPP).</w:t>
      </w:r>
    </w:p>
    <w:p>
      <w:r>
        <w:rPr>
          <w:b/>
        </w:rPr>
        <w:t>E. 7</w:t>
      </w:r>
    </w:p>
    <w:p>
      <w:r>
        <w:t>Le recours s'avère ainsi infondé et doit être rejeté.</w:t>
      </w:r>
    </w:p>
    <w:p>
      <w:r>
        <w:t>- 11/13 - P/5839/2024</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l'espèce, quand bien même le recourant succombe, on peut admettre que l'exercice du présent recours ne procède pas d'un abus.</w:t>
      </w:r>
    </w:p>
    <w:p>
      <w:r>
        <w:t>L'indemnité du défenseur d'office sera fixée à la fin de la procédure (art. 135 al. 2 CPP). * * * * *</w:t>
      </w:r>
    </w:p>
    <w:p>
      <w:r>
        <w:t>- 12/13 - P/5839/2024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