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ACPR/481/2025 vom 2. Juni 2025</w:t>
      </w:r>
    </w:p>
    <w:p>
      <w:r>
        <w:t>GE Cour de justice, 2025-06-02, FR</w:t>
      </w:r>
    </w:p>
    <w:p>
      <w:r>
        <w:rPr>
          <w:b/>
        </w:rPr>
        <w:t xml:space="preserve">Quelle: </w:t>
      </w:r>
      <w:r>
        <w:t>https://mcp.opencaselaw.ch/entscheid/ge_gerichte_ACPR_481_2025</w:t>
      </w:r>
    </w:p>
    <w:p>
      <w:r>
        <w:t>FR: GE_GERICHTE ACPR/481/2025 du 2 juin 2025</w:t>
      </w:r>
    </w:p>
    <w:p>
      <w:r>
        <w:t>IT: GE_GERICHTE ACPR/481/2025 del 2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t>- 4/7 - P/12601/2025</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2.4</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 Il a en effet déjà été condamné à trois reprises, le 12 août 2015, le 26 mai 2016 et le 10 avril 2017, pour des délits contre la loi fédérale sur les stupéfiants, ainsi que pour</w:t>
      </w:r>
    </w:p>
    <w:p>
      <w:r>
        <w:t>- 5/7 - P/12601/2025 des infractions à la législation fédérale sur les étrangers. Il a par ailleurs été condamné à trois autres reprises, entre 2020 et 2025, pour séjour illégal et/ou entrée illégale. Ces nombreux antécédents, auxquels s'ajoute la situation personnelle du recourant, laissent craindre un ancrage dans la délinquance liée aux stupéfiants et permettent de penser qu'il pourrait être impliqué dans d'autres infractions à la LStup encore inconnues des autorités, qui pourraient lui être attribuées si l'on était en mesure de comparer son profil d'ADN à des traces prélevées sur les lieux de leurs commissions. Enfin, les infractions à la LStup susceptibles d'être élucidées revêtent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Partant, la mesure querellée n'apparaît pas inutile ni disproportionnée. À titre superfétatoire, le recourant ne saurait tirer argument du fait que son profil d'ADN aurait d'ores et déjà été établi. Dès lors que les profils d'ADN sont soumis à effacement après un certain délai (cf. art. 16 de la Loi sur les profils d'ADN; RS 363), il existerait un intérêt, quand bien même l'établissement de son profil d'ADN aurait déjà été ordonné – ce qu'il n'établit au demeurant nullement, affirmant "ignorer" si tel aurait déjà été le cas – et son effacement n'interviendrait pas avant de nombreuses années, à le soumettre derechef à cette mesure, pour autant bien évidemment que les conditions soient à nouveau réalisées, ce qui est le cas en l'espèce. Cet intérêt public primerait celui – privé – du recourant à ce que son profil d'ADN ne soit pas établi une nouvelle fois. Ainsi, quand bien même le Ministère public aurait, dans de telles circonstances, ordonné une nouvelle fois l'établissement du profil d'ADN du recourant, un tel acte n'apparaitrait nullement disproportionné. En définitive, l'ordonnance querellée ne prête pas le flanc à la critique, les réquisits pour le prononcé de l'établissement du profil d'ADN du recourant étant réunis.</w:t>
      </w:r>
    </w:p>
    <w:p>
      <w:r>
        <w:rPr>
          <w:b/>
        </w:rPr>
        <w:t>E. 3</w:t>
      </w:r>
    </w:p>
    <w:p>
      <w:r>
        <w:t>Justifiée, l'ordonnance querellée sera donc confirmée. Le recours, qui s'avère mal fondé, pouvait d'emblée être traité sans échange d'écritures ni débats (art. 390 al. 2 et</w:t>
      </w:r>
    </w:p>
    <w:p>
      <w:r>
        <w:rPr>
          <w:b/>
        </w:rPr>
        <w:t>E. 5</w:t>
      </w:r>
    </w:p>
    <w:p>
      <w:r>
        <w:t>Corrélativement, aucun dépens ne lui sera alloué (ATF 144 IV 207 consid. 1.8.2). * * * * *</w:t>
      </w:r>
    </w:p>
    <w:p>
      <w:r>
        <w:t>- 6/7 - P/12601/2025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