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ACPR/481/2021 vom 25. Juni 2021</w:t>
      </w:r>
    </w:p>
    <w:p>
      <w:r>
        <w:t>GE Cour de justice, 2021-06-25, FR</w:t>
      </w:r>
    </w:p>
    <w:p>
      <w:r>
        <w:rPr>
          <w:b/>
        </w:rPr>
        <w:t xml:space="preserve">Quelle: </w:t>
      </w:r>
      <w:r>
        <w:t>https://mcp.opencaselaw.ch/entscheid/ge_gerichte_ACPR_481_2021</w:t>
      </w:r>
    </w:p>
    <w:p>
      <w:r>
        <w:t>FR: GE_GERICHTE ACPR/481/2021 du 25 juin 2021</w:t>
      </w:r>
    </w:p>
    <w:p>
      <w:r>
        <w:t>IT: GE_GERICHTE ACPR/481/2021 del 25 giugno 2021</w:t>
      </w:r>
    </w:p>
    <w:p>
      <w:pPr>
        <w:pStyle w:val="Heading2"/>
      </w:pPr>
      <w:r>
        <w:t>Erwägungen</w:t>
      </w:r>
    </w:p>
    <w:p>
      <w:r>
        <w:rPr>
          <w:b/>
        </w:rPr>
        <w:t>E. 1</w:t>
      </w:r>
    </w:p>
    <w:p>
      <w:r>
        <w:t>Les deux actes de recours, déposés par le recourant en personne puis par son défenseur d'office, sont recevables, pour avoir tous deux été déposés selon la forme et dans le délai prescrits (art. 385 al. 1 et 396 al. 1 CPP), concerner une ordonnance sujette à recours auprès de la Chambre de céans (art. 222 et 393 al. 1 let. c CPP) et émaner du prévenu qui, partie à la procédure (art. 104 al. 1 let. a CPP), a qualité pour</w:t>
      </w:r>
    </w:p>
    <w:p>
      <w:r>
        <w:t>- 7/11 - P/15/2021 agir, ayant un intérêt juridiquement protégé à la modification ou à l'annulation de la décision querellée (art. 382 al. 1 CPP).</w:t>
      </w:r>
    </w:p>
    <w:p>
      <w:r>
        <w:rPr>
          <w:b/>
        </w:rPr>
        <w:t>E. 2</w:t>
      </w:r>
    </w:p>
    <w:p>
      <w:r>
        <w:t>Le recourant persiste à contester les charges de lésions corporelles graves.</w:t>
      </w:r>
    </w:p>
    <w:p>
      <w:r>
        <w:rPr>
          <w:b/>
        </w:rPr>
        <w:t>E. 2.1</w:t>
      </w:r>
    </w:p>
    <w:p>
      <w:r>
        <w:t>À teneur de l'art. 221 al. 1 première phrase CPP, la détention pour des motifs de sûreté ne peut être ordonnée que lorsque le prévenu est fortement soupçonné d'avoir commis un crime ou un délit. En d'autres termes, pour qu'une personne soit placée en détention,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ou pour des motifs de sûreté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la Chambre de céans a, dans son précédent arrêt – auquel il est renvoyé en tant que de besoin – retenu l'existence de charges suffisantes d'une co- activité du recourant en lien avec les coups de couteau portés par C______ sur E______. Depuis cet arrêt, aucun élément au dossier n'est venu amoindrir ces charges principales – le recourant étant également accusé de menaces, séjour illégal et consommation de stupéfiants –, qui se sont au contraire affirmées par le renvoi en jugement du recourant. Les arguments du recourant – qu'il pourra adresser à la juridiction de fond – ont déjà été soulevés devant la Chambre de céans, qui y a répondu dans son précédent arrêt. L'instruction de la cause n'a pas évolué de manière déterminante depuis lors (arrêt du Tribunal fédéral 1B_247/2015 du 4 août 2015 consid. 2), puisqu'aucune nouvelle audience d'instruction n'a eu lieu, que le rapport de police du 4 mai 2021 sur les caméras de vidéosurveillance n'établit rien, que les réquisitions de preuve complémentaires de la victime ont été refusées et que les prévenus n'en ont quant à eux pas formulées.</w:t>
      </w:r>
    </w:p>
    <w:p>
      <w:r>
        <w:t>- 8/11 - P/15/2021 Il existe donc toujours des charges suffisantes et graves, de sorte que la première condition à la détention pour des motifs de sûretés est réalisée.</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le recourant admet qu'il était sur le point, au moment de son arrestation, de se rendre en Allemagne. Compte tenu de son récent renvoi en jugement pour des charges graves, le risque est très élevé qu'il ne quitte, en cas de mise en liberté, le territoire suisse, où il ne bénéficie d'aucune autorisation de séjour ni d'attaches, pour échapper à l'éventuelle peine s'il devait être reconnu coupable des infractions dont il est accusé, selon lui à tort.</w:t>
      </w:r>
    </w:p>
    <w:p>
      <w:r>
        <w:rPr>
          <w:b/>
        </w:rPr>
        <w:t>E. 4</w:t>
      </w:r>
    </w:p>
    <w:p>
      <w:r>
        <w:t>L'un des risques prévus à l'art. 221 al. 1 CP étant réalisé, l'autorité de recours peut se dispenser d'examiner le risque, alternatif, de réitération (arrêt du Tribunal fédéral 1B_322/2019 du 17 juillet 2019 consid. 3.3 et la jurisprudence citée).</w:t>
      </w:r>
    </w:p>
    <w:p>
      <w:r>
        <w:rPr>
          <w:b/>
        </w:rPr>
        <w:t>E. 5</w:t>
      </w:r>
    </w:p>
    <w:p>
      <w:r>
        <w:t>Le recourant soulève une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In casu, le recourant est renvoyé en jugement notamment pour lésions corporelles graves en co-activité. Selon l'art. 122 CP, l'auteur de lésions corporelles graves est puni d’une peine privative de liberté de six mois à dix ans. Le recourant est également accusé de menaces (art. 180 CP), séjour illégal (art. 115 LEI) et</w:t>
      </w:r>
    </w:p>
    <w:p>
      <w:r>
        <w:t>- 9/11 - P/15/2021 consommation de stupéfiants (art. 19a LStup). La prolongation ordonnée, qui porte la détention avant jugement à un peu plus de huit mois, demeure ainsi en deçà de la peine menace et celle concrètement encourue par le recourant, si les soupçons du Ministère public étaient confirmés. Le principe de la proportionnalité n'est dès lors pas violé.</w:t>
      </w:r>
    </w:p>
    <w:p>
      <w:r>
        <w:rPr>
          <w:b/>
        </w:rPr>
        <w:t>E. 6</w:t>
      </w:r>
    </w:p>
    <w:p>
      <w:r>
        <w:t>Aucune mesure de substitution (art. 237 CPP) n'est apte à pallier le risque très élevé de fuite, et le recourant n'en propose d'ailleurs pas.</w:t>
      </w:r>
    </w:p>
    <w:p>
      <w:r>
        <w:rPr>
          <w:b/>
        </w:rPr>
        <w:t>E. 7</w:t>
      </w:r>
    </w:p>
    <w:p>
      <w:r>
        <w:t>Le recours s'avère ainsi infondé et doit être rejeté.</w:t>
      </w:r>
    </w:p>
    <w:p>
      <w:r>
        <w:rPr>
          <w:b/>
        </w:rPr>
        <w:t>E. 8</w:t>
      </w:r>
    </w:p>
    <w:p>
      <w:r>
        <w:t>Le recourant, qui succombe, supportera les frais envers l'État, fixés en totalité à CHF 900.-, y compris un émolument de décision (art. 428 al. 1 CPP et 13 al. 1 du Règlement fixant le tarif des frais en matière pénale, RTFMP ; E 4 10.03). * * * * *</w:t>
      </w:r>
    </w:p>
    <w:p>
      <w:r>
        <w:t>- 10/11 - P/15/2021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