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ACPR/47/2022 vom 13. September 2021</w:t>
      </w:r>
    </w:p>
    <w:p>
      <w:r>
        <w:t>GE Cour de justice, 2021-09-13, FR</w:t>
      </w:r>
    </w:p>
    <w:p>
      <w:r>
        <w:rPr>
          <w:b/>
        </w:rPr>
        <w:t xml:space="preserve">Quelle: </w:t>
      </w:r>
      <w:r>
        <w:t>https://mcp.opencaselaw.ch/entscheid/ge_gerichte_ACPR_47_2022</w:t>
      </w:r>
    </w:p>
    <w:p>
      <w:r>
        <w:t>FR: GE_GERICHTE ACPR/47/2022 du 13 septembre 2021</w:t>
      </w:r>
    </w:p>
    <w:p>
      <w:r>
        <w:t>IT: GE_GERICHTE ACPR/47/2022 del 13 settembre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 concernant l'infraction de diffamation, les conditions d'application de la preuve libératoire de l'art. 173 ch. 2 CP n'étant pas réunies à ce stade de la procédure.</w:t>
      </w:r>
    </w:p>
    <w:p>
      <w:r>
        <w:rPr>
          <w:b/>
        </w:rPr>
        <w:t>E. 3.1</w:t>
      </w:r>
    </w:p>
    <w:p>
      <w:r>
        <w:t>Conformément à l'art. 310 al. 1 let. a CPP et en vertu du principe "in dubio pro duriore",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w:t>
      </w:r>
    </w:p>
    <w:p>
      <w:r>
        <w:t>- 6/10 - P/5001/2021 présence d'infractions graves (ATF 138 IV 86 consid. 4.1.2; 137 IV 285 consid. 2.5; arrêt du Tribunal fédéral 1B_112/2012 du 6 décembre 2012 consid. 3.1.). Le ministère public a la compétence de rendre une telle ordonnance, selon les circonstances, lorsqu'une infraction de diffamation est en cause. En effet, le fait qu'un tribunal de première instance dispose des compétences, le cas échéant, pour administrer les preuves libératoires qui peuvent découler de l'admission de ce droit n'exclut pas toute administration préalable. Un tel raisonnement serait contraire au principe d'économie de procédure puisqu'il tendrait à imposer en tous les cas où les conditions de l'art. 173 ch. 1 CP paraissent réalisées un renvoi en jugement.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3.2.1. Se rend coupable de diffamation (art. 173 al. 1 CP), celui qui, en s'adressant à un tiers, oralement ou par écrit (art. 176 CP), aura accusé une personne ou jeté sur elle le soupçon de tenir une conduite contraire à l'honneur. 3.2.2. Le prévenu peut, toutefois, être admis à prouver que les allégations à caractère diffamatoire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notamment lorsqu'elles ont trait à la vie privée ou à la vie de famille (art. 173 ch. 3 CP). 3.2.3.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L'exigence de la preuve de la bonne foi est accrue lorsque les allégations ont été formulées publiquement ou diffusées largement (A. MACALUSO / L. MOREILLON / N. QUELOZ [éds], Commentaire romand, Code pénal II, vol. II, Partie spéciale : art. 111-392 CP, Bâle 2017, n. 39 ad art. 173).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Volume I, 3ème éd., 2010, n. 75, 78, 80 et 82 ad art. 173). Celui qui présente ses accusations comme étant l'expression de la vérité doit prouver qu'il avait de bonnes raisons de le croire (ATF 116 IV 205 consid. 3b). Le juge examine d'office si les conditions posées à l'art. 173 ch. 2 CP sont réalisées (M. DUPUIS / L. MOREILLON / C. PIGUET / S. BERGER / M. MAZOU / V. RODIGARI (éds), Code pénal - Petit commentaire, 2e éd., Bâle 2017, n. 35 ad art. 173).</w:t>
      </w:r>
    </w:p>
    <w:p>
      <w:r>
        <w:t>- 7/10 - P/5001/2021 Lorsque la preuve de la bonne foi est apportée, l'accusé doit être acquitté (ATF 119 IV 44 consid. 3). 3.2.4. Les deux conditions de l'art. 173 ch. 3 CP sont cumulatives et doivent être interprétées de manière restrictive. L'admission de la preuve libératoire constitue la règle et elle ne peut être refusée que si l'auteur a agi principalement dans le but de dire du mal d'autrui et s'il s'est exprimé sans motif suffisant (ATF 132 IV 112 consid. 3.1; 82 IV 91 consid. 2 et 3).</w:t>
      </w:r>
    </w:p>
    <w:p>
      <w:r>
        <w:rPr>
          <w:b/>
        </w:rPr>
        <w:t>E. 3.3</w:t>
      </w:r>
    </w:p>
    <w:p>
      <w:r>
        <w:t>En l'espèce, conformément à la jurisprudence précitée, le Ministère public est compétent pour traiter d'office de l'admissibilité des preuves libératoires et de leur réalisation. En outre, le recourant ne peut être suivi lorsqu'il allègue une violation de son droit d'être entendu. Tout d'abord, lorsque le Ministère public entend rendre une ordonnance de non-entrée en matière, il n'est pas tenu d'informer les parties de son choix. L'art. 318 CPP n'est en effet pas applicable dans une telle situation. Le droit d'être entendu des parties est assuré, le cas échéant, dans le cadre de la procédure de recours contre l'ordonnance de non-entrée en matière, qui permet aux parties de faire valoir tous leurs griefs – formels et matériels – auprès d'une autorité disposant d'une pleine cognition en fait et en droit. Ensuite, le recourant a eu l'occasion de s'exprimer notamment sur la question des preuves libératoires, ce qu'il a fait par courrier du 23 juillet 2021. Le caractère diffamatoire des propos litigieux n'étant pas contesté, la seule question qui demeure est celle de savoir si une preuve libératoire, en particulier celle de la bonne foi, était admissible et, le cas échéant, si elle a été apportée. Il ressort du dossier que l'avocat s'est fondé sur les plaintes déposées par ses clientes et les éléments figurant au dossier de la procédure P/1______/2018. Dans le cadre de celle-ci, le recourant a été placé en détention durant cinq mois et, à sa libération, diverses mesures de substitution ont été ordonnées, dont notamment l'interdiction d'exercer son métier. Le fait que cette procédure soit toujours en cours ne signifie pas que ce dernier serait coupable des actes qui lui sont reprochés. En revanche, la procédure donne de la substance aux accusations de ses anciennes patientes. En sa qualité d'avocat de certaines d’entre elles, le mis en cause pouvait donc légitimement tenir, de bonne foi, les allégations de ses clientes pour vraies. En outre, on ne voit pas pour quelle raison le mis en cause, en tant qu'avocat de la partie adverse, aurait tenté de nuire au plaignant de cette manière. Les propos relatés dans la presse ne sont en effet pas de nature à exercer une quelconque influence sur la conviction d'un procureur ou d'un juge, et, partant, servir la cause de ses clientes, ce qu'il ne pouvait ignorer, compte tenu de sa position d'avocat pénaliste. Par ailleurs, le mis en cause s'est contenté de reprendre les accusations émises par ses clientes, reproches dont le recourant ne démontre pas la fausseté.</w:t>
      </w:r>
    </w:p>
    <w:p>
      <w:r>
        <w:t>- 8/10 - P/5001/2021 Partant, au vu des développements qui précèdent, les probabilités d’acquittement apparaissent manifestement supérieures à celles d'une condamnation. C’est donc à juste titre que le Ministère public a rendu l'ordonnance querellée.</w:t>
      </w:r>
    </w:p>
    <w:p>
      <w:r>
        <w:rPr>
          <w:b/>
        </w:rPr>
        <w:t>E. 4</w:t>
      </w:r>
    </w:p>
    <w:p>
      <w:r>
        <w:t>Justifiée, l'ordonnance querellée sera donc confirmée.</w:t>
      </w:r>
    </w:p>
    <w:p>
      <w:r>
        <w:rPr>
          <w:b/>
        </w:rPr>
        <w:t>E. 5</w:t>
      </w:r>
    </w:p>
    <w:p>
      <w:r>
        <w:t>Le recourant, qui succombe, supportera les frais envers l'État, qui seront fixés en totalité à CHF 1'500.- (art. 428 al. 1 CPP et 13 al. 1 du Règlement fixant le tarif des frais en matière pénale, RTFMP ; E 4 10.03). * * * * *</w:t>
      </w:r>
    </w:p>
    <w:p>
      <w:r>
        <w:t>- 9/10 - P/5001/2021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