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ACPR/47/2021 vom 22. Dezember 2020</w:t>
      </w:r>
    </w:p>
    <w:p>
      <w:r>
        <w:t>GE Cour de justice, 2020-12-22, FR</w:t>
      </w:r>
    </w:p>
    <w:p>
      <w:r>
        <w:rPr>
          <w:b/>
        </w:rPr>
        <w:t xml:space="preserve">Quelle: </w:t>
      </w:r>
      <w:r>
        <w:t>https://mcp.opencaselaw.ch/entscheid/ge_gerichte_ACPR_47_2021</w:t>
      </w:r>
    </w:p>
    <w:p>
      <w:r>
        <w:t>FR: GE_GERICHTE ACPR/47/2021 du 22 décembre 2020</w:t>
      </w:r>
    </w:p>
    <w:p>
      <w:r>
        <w:t>IT: GE_GERICHTE ACPR/47/2021 del 22 dicembre 2020</w:t>
      </w:r>
    </w:p>
    <w:p>
      <w:pPr>
        <w:pStyle w:val="Heading2"/>
      </w:pPr>
      <w:r>
        <w:t>Erwägungen</w:t>
      </w:r>
    </w:p>
    <w:p>
      <w:r>
        <w:rPr>
          <w:b/>
        </w:rPr>
        <w:t>E. 1</w:t>
      </w:r>
    </w:p>
    <w:p>
      <w:r>
        <w:t>Le recours est recevable pour avoir été déposé selon la forme et dans le délai prescrits (art. 385 al. 1 et 396 al. 1 CPP), concerner des ordonnances sujettes à recours auprès de la Chambre de céans (art. 222 et 393 al. 1 let. c CPP) et émaner du prévenu qui, partie à la procédure (art. 104 al. 1 let. a CPP), a qualité pour agir, ayant un intérêt juridiquement protégé à la modification ou à l'annulation des décisions querellées (art. 382 al. 1 CPP).</w:t>
      </w:r>
    </w:p>
    <w:p>
      <w:r>
        <w:rPr>
          <w:b/>
        </w:rPr>
        <w:t>E. 2</w:t>
      </w:r>
    </w:p>
    <w:p>
      <w:r>
        <w:t>Le recourant reproche au TMC d'avoir repris quasiment mot pour mot la requête en prolongation de détention du Ministère public sans répondre aux arguments qu'il avait soulevé dans ses observations, ce qui violait son droit d'être entendu.</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w:t>
      </w:r>
    </w:p>
    <w:p>
      <w:r>
        <w:rPr>
          <w:b/>
        </w:rPr>
        <w:t>E. 2.2</w:t>
      </w:r>
    </w:p>
    <w:p>
      <w:r>
        <w:t>En l'espèce, rien n'interdit à une autorité de faire intégralement sienne la motivation présentée à l'appui d'une requête (cf. ACPR/280/2018 du 23 mai 2018 consid. 3.). Il faut toutefois que l'autorité en question réponde aux objections du prévenu. Dans ses observations du 21 décembre 2020 à l'attention du TMC, reprises dans celles du 24 décembre 2020, le prévenu a surtout mis en évidence les contradictions dans les propos de son accusatrice ainsi que les éléments du dossier qu'il tenait comme à décharge. Il a également reproché au Ministère public de ne pas s'être prononcé sur sa proposition d'internement à D______, à titre de mesure de substitution. Or, que ce soit dans l'ordonnance du 22 décembre 2020 ou dans celle du 24 décembre 2020, le TMC a considéré, comme dans ses précédentes ordonnances du reste, que les charges étaient suffisantes, eu égard notamment aux déclarations de la plaignante, qu'il tenait pour crédibles, précisant que la thèse d'une "pulsion" commune avancée par le prévenu n'emportait pas conviction. S'agissant de la mesure de substitution proposée, il l'a examinée mais réfutée. On ne voit ainsi pas sur quel argument du prévenu le TMC ne se serait pas prononcé. Par ailleurs, dans la mesure où le recourant a pu à nouveau faire valoir ses moyens ici, la prétendue violation du droit d'être entendu serait de toute manière réparée, la Chambre de céans jouissant d'un plein pouvoir de cognition en droit, en fait et en opportunité (art. 393 al. 2 CPP; ATF 137 I 195 consid. 2.3.2 p. 197; arrêt du Tribunal fédéral 1B_524/2012 du 15 novembre 2012 consid. 2.1).</w:t>
      </w:r>
    </w:p>
    <w:p>
      <w:r>
        <w:t>- 8/14 - P/13988/2020 3. Le recourant considère que le TMC a violé les principes de la présomption d'innocence et de l'égalité des armes, en le tenant pour d'ores et déjà coupable.</w:t>
      </w:r>
    </w:p>
    <w:p>
      <w:r>
        <w:t>3.1.1. 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arrêt 1B_63/2007 du 11 mai 2007 consid. 3 non publié in ATF 133 I 168).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 1).</w:t>
      </w:r>
    </w:p>
    <w:p>
      <w:r>
        <w:t>3.1.2. Le principe de l'égalité des armes, tel qu'il est ancré aux art. 29 al. 1 Cst. et</w:t>
      </w:r>
    </w:p>
    <w:p>
      <w:r>
        <w:rPr>
          <w:b/>
        </w:rPr>
        <w:t>E. 4</w:t>
      </w:r>
    </w:p>
    <w:p>
      <w:r>
        <w:t>avril 2014 consid. 2.2).</w:t>
      </w:r>
    </w:p>
    <w:p>
      <w:r>
        <w:t>- 7/14 - P/13988/2020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rPr>
          <w:b/>
        </w:rPr>
        <w:t>E. 6</w:t>
      </w:r>
    </w:p>
    <w:p>
      <w:r>
        <w:t>Le recourant conteste le risque de collusion.</w:t>
      </w:r>
    </w:p>
    <w:p>
      <w:r>
        <w:rPr>
          <w:b/>
        </w:rPr>
        <w:t>E. 6.1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w:t>
      </w:r>
    </w:p>
    <w:p>
      <w:r>
        <w:t>- 11/14 - P/13988/2020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6.2</w:t>
      </w:r>
    </w:p>
    <w:p>
      <w:r>
        <w:t>En l'occurrence, les parties ont certes été entendues contradictoirement. Il n'est toutefois pas exclu, vu les enjeux pour le recourant, que celui-ci tente de faire pression sur la plaignante pour l'amener à modifier ses déclarations avant l'audience de jugement, lors de laquelle elle sera en principe convoquée pour être à nouveau entendue. En l'absence de témoins, son témoignage reste en effet crucial pour la manifestation de la vérité.</w:t>
      </w:r>
    </w:p>
    <w:p>
      <w:r>
        <w:t>Partant, le risque de collusion subsiste encore à ce stade.</w:t>
      </w:r>
    </w:p>
    <w:p>
      <w:r>
        <w:rPr>
          <w:b/>
        </w:rPr>
        <w:t>E. 7</w:t>
      </w:r>
    </w:p>
    <w:p>
      <w:r>
        <w:t>Le recourant conteste le risque de réitération.</w:t>
      </w:r>
    </w:p>
    <w:p>
      <w:r>
        <w:rPr>
          <w:b/>
        </w:rPr>
        <w:t>E. 7.1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w:t>
      </w:r>
    </w:p>
    <w:p>
      <w:r>
        <w:t>- 12/14 - P/13988/2020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7.2</w:t>
      </w:r>
    </w:p>
    <w:p>
      <w:r>
        <w:t>En l'espèce, le recourant souffre de schizophrénie. Selon le rapport d'expertise psychiatrique, le risque est moyen qu'il commette à nouveau des infractions violentes (physiques ou sexuelles) contre des tiers ainsi qu'à la LArm. Le risque de récidive à la LStup est quant à lui élevé en raison de l'utilisation nocive de cannabis et de l'absence de prise de conscience de cette problématique par l'intéressé. Le recourant ayant en outre déjà été condamné à deux reprises pour des actes de violence, c'est à bon droit que le TMC a retenu un risque de récidive.</w:t>
      </w:r>
    </w:p>
    <w:p>
      <w:r>
        <w:rPr>
          <w:b/>
        </w:rPr>
        <w:t>E. 8</w:t>
      </w:r>
    </w:p>
    <w:p>
      <w:r>
        <w:t>Le recourant propose, pour pallier les risques retenus, son internement à D______, à titre de mesure de substitution (art. 237 al. 1 CPP). Force est toutefois de constater qu'il n'appartient pas au prévenu de définir lui-même le traitement dont il aurait besoin, ce d'autant que les experts psychiatres ne recommandent à ce stade aucune mesure thérapeutique. Un tel placement dans un établissement ouvert – même en période de pandémie – ne constituerait de toute manière pas un palliatif suffisant aux risques retenus. Aucune autre mesure de substitution ne serait enfin susceptible d'atteindre les mêmes buts que la détention.</w:t>
      </w:r>
    </w:p>
    <w:p>
      <w:r>
        <w:rPr>
          <w:b/>
        </w:rPr>
        <w:t>E. 9</w:t>
      </w:r>
    </w:p>
    <w:p>
      <w:r>
        <w:t>La durée de la détention provisoire subie jusqu'ici et à l'échéance de la prolongation ordonnée demeure proportionnée à la peine menace et concrète encourue si l'ensemble des préventions retenues venait à être confirmé, étant précisé que le prévenu devrait pouvoir en principe être renvoyé en jugement dans l'intervalle.</w:t>
      </w:r>
    </w:p>
    <w:p>
      <w:r>
        <w:rPr>
          <w:b/>
        </w:rPr>
        <w:t>E. 10</w:t>
      </w:r>
    </w:p>
    <w:p>
      <w:r>
        <w:t>Le recours s'avère ainsi infondé et doit être rejeté.</w:t>
      </w:r>
    </w:p>
    <w:p>
      <w:r>
        <w:rPr>
          <w:b/>
        </w:rPr>
        <w:t>E. 11</w:t>
      </w:r>
    </w:p>
    <w:p>
      <w:r>
        <w:t>Le recourant, qui succombe, supportera les frais envers l'État, qui comprendront un émolument de CHF 900.- (art. 428 al. 1 CPP et 13 al. 1 du Règlement fixant le tarif des frais en matière pénale, RTFMP ; E 4 10.03). * * * * *</w:t>
      </w:r>
    </w:p>
    <w:p>
      <w:r>
        <w:t>- 13/14 - P/13988/2020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