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ACPR/479/2020 vom 30. Oktober 2017</w:t>
      </w:r>
    </w:p>
    <w:p>
      <w:r>
        <w:t>GE Cour de justice, 2017-10-30, FR</w:t>
      </w:r>
    </w:p>
    <w:p>
      <w:r>
        <w:rPr>
          <w:b/>
        </w:rPr>
        <w:t xml:space="preserve">Quelle: </w:t>
      </w:r>
      <w:r>
        <w:t>https://mcp.opencaselaw.ch/entscheid/ge_gerichte_ACPR_479_2020</w:t>
      </w:r>
    </w:p>
    <w:p>
      <w:r>
        <w:t>FR: GE_GERICHTE ACPR/479/2020 du 30 octobre 2017</w:t>
      </w:r>
    </w:p>
    <w:p>
      <w:r>
        <w:t>IT: GE_GERICHTE ACPR/479/2020 del 30 ottobre 2017</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 plaignante dans la procédure pendante (art. 104 al. 1 let. b CPP), la requérante dispose de la qualité pour agir (art. 58 al. 1 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Schweizerische Strafprozessordnung : Praxiskommentar, 3e éd., Zurich 2017, n. 14 ad art. 56).</w:t>
      </w:r>
    </w:p>
    <w:p>
      <w:r>
        <w:rPr>
          <w:b/>
        </w:rPr>
        <w:t>E. 2.3</w:t>
      </w:r>
    </w:p>
    <w:p>
      <w:r>
        <w:t>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w:t>
      </w:r>
    </w:p>
    <w:p>
      <w:r>
        <w:t>- 5/8 - PS/28/2020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procédure de récusation n'a pas pour objet de permettre aux parties de remettre en cause les différentes décisions prises par la direction de la procédure (arrêt du Tribunal fédéral 1B_148/2015 du 24 juillet 2015 c. 3.1., 1B_205/2013 du 9 août 2013, c. 3.1.).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w:t>
      </w:r>
    </w:p>
    <w:p>
      <w:r>
        <w:rPr>
          <w:b/>
        </w:rPr>
        <w:t>E. 2.4</w:t>
      </w:r>
    </w:p>
    <w:p>
      <w:r>
        <w:t>En l'espèce, la recevabilité de la demande de récusation, formée par courriel, paraît douteuse. Elle doit, quoi qu'il en soit, être rejetée pour les raisons qui suivent. La requérante demande la récusation du Procureur en charge de la procédure P/1______/2020, ouverte à la suite de sa plainte contre la curatrice E______. Elle n'invoque cependant aucun lien amical étroit entre cette dernière et le magistrat incriminé mais soutient – sans le démontrer – qu'il existerait une collusion entre ledit magistrat et la Dre F______ – qui n'est pas partie à la procédure –, puis entre cette dernière et E______. Elle échoue ainsi à rendre vraisemblable qu'il existerait une proximité directe entre le magistrat incriminé et la curatrice, de nature à faire craindre objectivement, de par son intensité et sa qualité, qu'il n'influence le magistrat visé dans la conduite de la procédure dont il a la charge et dans sa décision y relative, en lui faisant perdre sa complète liberté de décision, étant rappelé à cet égard que l'impartialité subjective d'un magistrat se présume jusqu'à preuve du contraire. La requérante appuie également sa demande sur le fait qu'elle a déjà, par le passé et dans d'autres procédures, requis la récusation de B______, l'estimant partial, et s'était plainte de déni de justice. La seule existence de ces requêtes – qui ont toutes été rejetées – n'est pas un motif de récusation. Encore faut-il que des éléments objectifs créent une apparence de prévention, ce qui n'est pas le cas en l'espèce. Finalement, la requérante voit dans les refus d'instruire qu'elle prête au cité dans d'autres procédures, une volonté de ce dernier de "couv[rir] tout le monde". En l'absence d'indices concrets de partialité, de tels refus – s'ils étaient avérés – ne sont</w:t>
      </w:r>
    </w:p>
    <w:p>
      <w:r>
        <w:t>- 6/8 - PS/28/2020 pas non plus un motif de récusation, étant rappelé que la requérante ne saurait utiliser une procédure de récusation pour se plaindre de prétendus déni de justice. Ce grief sera dès lors rejeté.</w:t>
      </w:r>
    </w:p>
    <w:p>
      <w:r>
        <w:rPr>
          <w:b/>
        </w:rPr>
        <w:t>E. 3</w:t>
      </w:r>
    </w:p>
    <w:p>
      <w:r>
        <w:t>La requérante sollicite d'être mise au bénéfice de l'assistance judiciaire.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3.2</w:t>
      </w:r>
    </w:p>
    <w:p>
      <w:r>
        <w:t>En l'espèce, quand bien même la requérante serait indigente – ce qu'elle ne démontre pas – , il a été jugé ci-dessus que ses griefs étaient manifestement infondés, de sorte que la requête était vouée à l'échec. La demande d'assistance judiciaire ne peut donc qu'être rejetée.</w:t>
      </w:r>
    </w:p>
    <w:p>
      <w:r>
        <w:rPr>
          <w:b/>
        </w:rPr>
        <w:t>E. 4</w:t>
      </w:r>
    </w:p>
    <w:p>
      <w:r>
        <w:t>La requérante, qui succombe, supportera les frais envers l'État, qui seront fixés en totalité à CHF 600.- (art. 59 al. 4, 428 al. 1 CPP et 13 al. 1 du Règlement fixant le tarif des frais en matière pénale, RTFMP ; E 4 10.03). * * * * *</w:t>
      </w:r>
    </w:p>
    <w:p>
      <w:r>
        <w:t>- 7/8 - PS/28/2020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