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ACPR/478/2026 vom 13. Mai 2026</w:t>
      </w:r>
    </w:p>
    <w:p>
      <w:r>
        <w:t>GE Cour de justice, 2026-05-13, FR</w:t>
      </w:r>
    </w:p>
    <w:p>
      <w:r>
        <w:rPr>
          <w:b/>
        </w:rPr>
        <w:t xml:space="preserve">Quelle: </w:t>
      </w:r>
      <w:r>
        <w:t>https://mcp.opencaselaw.ch/entscheid/ge_gerichte_ACPR_478_2026</w:t>
      </w:r>
    </w:p>
    <w:p>
      <w:r>
        <w:t>FR: GE_GERICHTE ACPR/478/2026 du 13 mai 2026</w:t>
      </w:r>
    </w:p>
    <w:p>
      <w:r>
        <w:t>IT: GE_GERICHTE ACPR/478/2026 del 13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151 IV 57 consid. 3.1; 150 IV 360 consid. 3.4.2 et les arrêts cités).</w:t>
      </w:r>
    </w:p>
    <w:p>
      <w:r>
        <w:rPr>
          <w:b/>
        </w:rPr>
        <w:t>E. 2.2</w:t>
      </w:r>
    </w:p>
    <w:p>
      <w:r>
        <w:t>En l’espèce, les soupçons en lien avec le brigandage du 15 mars 2026 demeurent, quoi qu’en pense le recourant, suffisants à ce stade. Le précité a été interpellé quelques minutes seulement après les faits, en compagnie de deux individus avec lesquels il figurait, sur les images de vidéosurveillance, cheminant le long de la rue de Genève puis prenant la fuite. Il admet avoir été présent à proximité du lieu du brigandage et avoir passé la soirée avec ses coprévenus, l’un de ceux-ci admettant quant à lui avoir partagé le repas du soir avec le quatrième protagoniste non identifié, que le recourant met en cause pour le vol du collier. Les plaignants parlent tous deux d’une agression menée par quatre personnes, la victime du vol décrivant une action commune de ces quatre individus, lesquels se sont relayés ou ont conjointement tenté de lui prendre son collier, finalement avec succès. Les longs développements du recourant sur les faits du 26 février 2026 sont sans pertinence, l’ordonnance querellée indiquant ne plus considérer qu’ils fondent des</w:t>
      </w:r>
    </w:p>
    <w:p>
      <w:r>
        <w:t>- 7/10 - P/6721/2026 charges suffisantes pour le maintenir en détention, se basant sur celles en lien avec les faits du 15 mars 2026. Le grief relatif à l’absence de charges suffisantes sera, partant, rejeté.</w:t>
      </w:r>
    </w:p>
    <w:p>
      <w:r>
        <w:rPr>
          <w:b/>
        </w:rPr>
        <w:t>E. 3</w:t>
      </w:r>
    </w:p>
    <w:p>
      <w:r>
        <w:t>Le recourant ne conteste pas le risque de fuite. Il peut donc être renvoyé, en tant que de besoin, à la motivation adoptée par le premier juge sur ce point (art 82 al. 4 CPP; ACPR/747/2020 du 22 octobre 2020 consid. 2 et les références), lequel, expose les éléments fondant ce risque.</w:t>
      </w:r>
    </w:p>
    <w:p>
      <w:r>
        <w:rPr>
          <w:b/>
        </w:rPr>
        <w:t>E. 4</w:t>
      </w:r>
    </w:p>
    <w:p>
      <w:r>
        <w:t>Aucune mesure de substitution, et le recourant n’en propose aucune dans son recours, n’est susceptible d’atteindre le but de la détention.</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(ATF 133 I 270 consid. 3.4.2 p. 281-282; 125 I 60; arrêts du Tribunal fédéral 1B_750/2012 du 16 janvier 2013 consid. 2, 1B_624/2011 du 29 novembre 2011 consid. 3.1 et 1B_9/2011 du 7 février 2011 consid. 7.2).</w:t>
      </w:r>
    </w:p>
    <w:p>
      <w:r>
        <w:rPr>
          <w:b/>
        </w:rPr>
        <w:t>E. 5.2</w:t>
      </w:r>
    </w:p>
    <w:p>
      <w:r>
        <w:t>En l’espèce, le raisonnement du recourant repose sur le postulat de l’absence de charges suffisantes en lien avec les faits du 15 mars 2026. Ce postulat ayant été écarté pour les motifs exposés supra, le grief de violation du principe de la proportionnalité sera écarté, étant rappelé que la peine menace et concrètement encourue pour le seul brigandage en bande, passible d’une peine privative de liberté de deux ans au moins, est largement supérieure à la durée actuelle de la détention du recourant, tout comme celle du brigandage simple, d’un mininum de six mois.</w:t>
      </w:r>
    </w:p>
    <w:p>
      <w:r>
        <w:rPr>
          <w:b/>
        </w:rPr>
        <w:t>E. 6</w:t>
      </w:r>
    </w:p>
    <w:p>
      <w:r>
        <w:t>Le recourant invoque une violation du principe de la célérité.</w:t>
      </w:r>
    </w:p>
    <w:p>
      <w:r>
        <w:rPr>
          <w:b/>
        </w:rPr>
        <w:t>E. 6.1</w:t>
      </w:r>
    </w:p>
    <w:p>
      <w:r>
        <w:t>L'art. 29 al. 1 Cst. prévoit que toute personne a droit, dans une procédure judiciaire ou administrative, à ce que sa cause soit traitée équitablement et jugée dans un délai raisonnable.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w:t>
      </w:r>
    </w:p>
    <w:p>
      <w:r>
        <w:rPr>
          <w:b/>
        </w:rPr>
        <w:t>E. 6.2</w:t>
      </w:r>
    </w:p>
    <w:p>
      <w:r>
        <w:t>En l’espèce, en tant que le grief porte sur son audition en lien avec les images de vidéosurveillance, il est établi que le Ministère public a désormais tenu ladite audience, le 11 mai 2026. En ce qui concerne l’analyse du téléphone du recourant et l’audition</w:t>
      </w:r>
    </w:p>
    <w:p>
      <w:r>
        <w:t>- 8/10 - P/6721/2026 de la plaignante pour les faits du 26 février 2026, un éventuel retard à instruire est sans effet sur la détention, ces faits n’ayant pas été retenus dans l’ordonnance querellée pour fonder le refus de mise en liberté. Le grief sera, partant, rejeté.</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malgré l'issue du recours, on peut admettre que l'exercice du présent recours ne procède pas d'un abus. L'indemnité du défenseur d'office sera fixée à la fin de la procédure (art. 135 al. 2 CPP). * * * * *</w:t>
      </w:r>
    </w:p>
    <w:p>
      <w:r>
        <w:t>- 9/10 - P/6721/2026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