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ACPR/478/2019 vom 23. Januar 2019</w:t>
      </w:r>
    </w:p>
    <w:p>
      <w:r>
        <w:t>GE Cour de justice, 2019-01-23, FR</w:t>
      </w:r>
    </w:p>
    <w:p>
      <w:r>
        <w:rPr>
          <w:b/>
        </w:rPr>
        <w:t xml:space="preserve">Quelle: </w:t>
      </w:r>
      <w:r>
        <w:t>https://mcp.opencaselaw.ch/entscheid/ge_gerichte_ACPR_478_2019</w:t>
      </w:r>
    </w:p>
    <w:p>
      <w:r>
        <w:t>FR: GE_GERICHTE ACPR/478/2019 du 23 janvier 2019</w:t>
      </w:r>
    </w:p>
    <w:p>
      <w:r>
        <w:t>IT: GE_GERICHTE ACPR/478/2019 del 23 gennaio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w:t>
      </w:r>
    </w:p>
    <w:p>
      <w:r>
        <w:t>- 4/8 - P/6543/2018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 comportement des mis en cause est constitutif de violation de domicile et de tentative de contrainte. 3.1.1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138 IV 86 consid. 4.1.2; 137 IV 285 consid. 2.5).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 n'est pas punissable (A. KUHN / Y. JEANNERET (éds), Commentaire romand : Code de procédure pénale suisse, Bâle 2011, n. 10 ad art. 310 ; R. PFISTER- LIECHTI (éd.), La procédure pénale fédérale, Fondation pour la formation continue des juges suisses, Berne 2010, p. 62). 3.1.2 À teneur de l'art. 310 CPP, le ministère public rend immédiatement une ordonnance de non-entrée en matière s'il ressort de la dénonciation ou du rapport de police que les conditions mentionnées à l'art. 8 CPP imposent de renoncer à l'ouverture d'une poursuite pénale. L'art. 8 CPP prévoit que le ministère public peut renoncer à toute poursuite pénale, notamment lorsque les conditions visées à l'art. 52 CP sont remplies.</w:t>
      </w:r>
    </w:p>
    <w:p>
      <w:r>
        <w:t>- 5/8 - P/6543/2018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3.2.1 Aux termes de l'art. 186 CP, se rend coupable de violation de domicile celui qui, notamment, d'une manière illicite et contre la volonté de l'ayant droit, aura pénétré dans une habitation. 3.2.2 En l'espèce, plusieurs éléments rendent crédibles la conviction des mis en cause que plus personne n'occupait l'appartement litigieux lorsqu'ils s'y sont rendus, à savoir notamment l'absence de nom sur la boîte aux lettres, le fait que le courrier n'était pas relevé et les déclarations du concierge selon lesquelles il n'avait jamais vu personne ni entrer ni sortir dudit appartement. En outre, le recourant, qui n'avait plus accès à la boîte aux lettres depuis le mois de juillet 2017, n'a pour autant effectué aucune démarche afin d'en récupérer la clé, ce qui pouvait laisser supposer à des tiers qu'il avait quitté les lieux. Le fait que le nom du recourant ne figurait pas sur la porte palière était un élément supplémentaire à l'appui du fait qu'il n'occupait plus le logement litigieux. Le recourant n'a, par ailleurs, jamais pris contact avec la régie avant le 16 janvier 2018, malgré le fait qu'il n'ignorait pas que les héritiers avaient résilié le contrat de bail de feu C______. Il n'existe, dès lors, aucun soupçon que les mis en cause auraient eu l'intention de pénétrer illicitement dans l'appartement. L'ordonnance entreprise sera confirmée sur ce point. 3.3.1 Se rend coupable de contrainte selon l'art. 181 CP celui qui, en usant de violence envers une personne ou en la menaçant d'un dommage sérieux, ou en l'entravant de quelque autre manière dans sa liberté d'action, l'aura obligée à faire, ne pas faire ou à laisser faire un acte.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w:t>
      </w:r>
    </w:p>
    <w:p>
      <w:r>
        <w:t>- 6/8 - P/6543/2018 consid. 3.2.1 ; 137 IV 326 consid. 3.3.1 ; 134 IV 216 consid. 4.2 ; 119 IV 301 consid. 2a). 3.3.2 Dans le cas présent, le recourant ne rend pas crédible le fait que les mis en cause auraient changé la serrure de l'appartement litigieux dans le but de l'empêcher d'accéder à son logement et, ainsi, de le contraindre à renoncer à l'appartement hors procédure. En effet, comme mentionné précédemment, les mis en cause ne se sont rendus compte que l'appartement litigieux était occupé qu'au moment où ils y ont pénétré, à savoir après avoir procédé au changement du cylindre. Aussi, à ce moment-là, ils n'avaient manifestement pas l'intention de contraindre le recourant à quitter les lieux. En toute hypothèse, il ne pourrait y avoir que tentative, puisque le recourant ne s'est pas senti intimidé, n'ayant pas renoncé à l'appartement. En tout état de cause, les conséquences de l'acte et la culpabilité, même si elle était donnée, seraient relativement faibles, étant donné que le recourant a finalement pu récupérer les clés et ceci, avant même que les mis en cause ne soient informés du dépôt de sa plainte. En conséquence, la non-entrée en matière serait également justifiée, par substitution de motifs, les conditions de l'art. 52 CP étant remplies. Finalement, le recourant affirme avoir accepté de reprendre ses effets personnels et de quitter l'appartement, au motif que la régie lui aurait affirmé (à tort) qu'un jugement d'évacuation avait été rendu. Une telle affirmation n'est pas établie. Au demeurant, quand bien même elle serait avérée, elle n'est pas constitutive d'une entrave à la liberté d'action au sens de l'art. 181 CP, faute d'atteindre l'intensité nécessaire. La décision de non-entrée en matière n'est donc pas non plus critiquable sur ce point.</w:t>
      </w:r>
    </w:p>
    <w:p>
      <w:r>
        <w:rPr>
          <w:b/>
        </w:rPr>
        <w:t>E. 4</w:t>
      </w:r>
    </w:p>
    <w:p>
      <w:r>
        <w:t>Justifiée, l'ordonnance querellée sera donc confirmée.</w:t>
      </w:r>
    </w:p>
    <w:p>
      <w:r>
        <w:rPr>
          <w:b/>
        </w:rPr>
        <w:t>E. 5</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En l'espèce, le recourant n'allègue pas être indigent et ne fournit aucun document en attestant. Il n'indique pas non plus quelles prétentions civiles il serait susceptible de faire valoir. Aussi, la requête ne peut qu'être rejetée.</w:t>
      </w:r>
    </w:p>
    <w:p>
      <w:r>
        <w:rPr>
          <w:b/>
        </w:rPr>
        <w:t>E. 6</w:t>
      </w:r>
    </w:p>
    <w:p>
      <w:r>
        <w:t>Le recourant, qui succombe, supporte les frais envers l'État, qui comprendront un émolument de CHF 800.- (art. 428 al. 1 CPP et 13 al. 1 du Règlement fixant le tarif des frais en matière pénale). * * * * *</w:t>
      </w:r>
    </w:p>
    <w:p>
      <w:r>
        <w:t>- 7/8 - P/6543/2018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