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ACPR/477/2020 vom 7. Juli 2020</w:t>
      </w:r>
    </w:p>
    <w:p>
      <w:r>
        <w:t>GE Cour de justice, 2020-07-07, FR</w:t>
      </w:r>
    </w:p>
    <w:p>
      <w:r>
        <w:rPr>
          <w:b/>
        </w:rPr>
        <w:t xml:space="preserve">Quelle: </w:t>
      </w:r>
      <w:r>
        <w:t>https://mcp.opencaselaw.ch/entscheid/ge_gerichte_ACPR_477_2020</w:t>
      </w:r>
    </w:p>
    <w:p>
      <w:r>
        <w:t>FR: GE_GERICHTE ACPR/477/2020 du 7 juillet 2020</w:t>
      </w:r>
    </w:p>
    <w:p>
      <w:r>
        <w:t>IT: GE_GERICHTE ACPR/477/2020 del 7 luglio 2020</w:t>
      </w:r>
    </w:p>
    <w:p>
      <w:pPr>
        <w:pStyle w:val="Heading2"/>
      </w:pPr>
      <w:r>
        <w:t>Erwägungen</w:t>
      </w:r>
    </w:p>
    <w:p>
      <w:r>
        <w:rPr>
          <w:b/>
        </w:rPr>
        <w:t>E. 1.1</w:t>
      </w:r>
    </w:p>
    <w:p>
      <w:r>
        <w:t>Le recours est déposé selon la forme prescrite (art. 385 al. 1 et 396 al. 1 CPP), concerne des ordonnances de séquestre sujettes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Contrairement à l'avis du Ministère public, le recours n'est pas tardif. Les ordonnances querellées ont été rendues alors que le recourant était détenu – dans la procédure parallèle – et ne lui ont pas été notifiées. Malgré ses demandes répétées, la défense n'a pas reçu de copie de la procédure avant le dépôt du présent recours. On ne saurait donc, sans violer le principe de la bonne foi (art. 3 al. 2 let. a CPP), considérer que le recourant aurait pris connaissance desdites décisions avant la lettre</w:t>
      </w:r>
    </w:p>
    <w:p>
      <w:r>
        <w:t>- 5/8 - P/21690/2014 que lui a adressée le Ministère public le 22 mai 2020, singulièrement pas lors de la consultation, le 6 mai 2020, des 17 classeurs de la procédure. Le recours contre les ordonnances de séquestre est donc recevable. Quoi qu'il en soit, dans le courrier précité, le Ministère public a refusé d'autoriser des "opérations bancaires à partir des comptes bancaires bloqués", ce qui équivaut à refuser la levée de séquestre requise, de sorte que le recours aurait à tout le moins été formé à temps sur ce point.</w:t>
      </w:r>
    </w:p>
    <w:p>
      <w:r>
        <w:rPr>
          <w:b/>
        </w:rPr>
        <w:t>E. 1.3</w:t>
      </w:r>
    </w:p>
    <w:p>
      <w:r>
        <w:t>Les trois conclusions du recourant relatives aux clés de son appartement de J_______ et à l'accès à ce dernier sont irrecevables, dès lors qu'elles n'ont pas fait l'objet d'une décision préalable, le Ministère public n'ayant fait qu'inviter la régie, dans sa lettre du 22 mai 2020, à lui présenter une demande.</w:t>
      </w:r>
    </w:p>
    <w:p>
      <w:r>
        <w:rPr>
          <w:b/>
        </w:rPr>
        <w:t>E. 1.4</w:t>
      </w:r>
    </w:p>
    <w:p>
      <w:r>
        <w:t>Le recourant semble conclure à la levée partielle d'une somme, qu'il ne chiffre pas, à titre humanitaire, mais ne vise aucune décision du Ministère public à cet égard, de sorte que cette conclusion est également irrecevable.</w:t>
      </w:r>
    </w:p>
    <w:p>
      <w:r>
        <w:rPr>
          <w:b/>
        </w:rPr>
        <w:t>E. 1.5</w:t>
      </w:r>
    </w:p>
    <w:p>
      <w:r>
        <w:t>En tant que le recourant demande, pour la première fois devant l'autorité de recours, le versement d'une indemnité de CHF 10'000.-, sa conclusion est, ici aussi, irrecevable, le recours ne portant sur aucune décision préalable.</w:t>
      </w:r>
    </w:p>
    <w:p>
      <w:r>
        <w:rPr>
          <w:b/>
        </w:rPr>
        <w:t>E. 2</w:t>
      </w:r>
    </w:p>
    <w:p>
      <w:r>
        <w:t>Le recourant reproche au Ministère public d'avoir séquestré sa rente AI et ses prestations complémentaires, qu'il estime insaisissables.</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Le séquestre a notamment pour a pour but de préparer la confiscation au sens de l'art. 70 al. 1 CP, à teneur duquel le juge prononce la confiscation des valeurs patrimoniales qui sont le résultat d'une infraction ou qui étaient destinées à décider ou à récompenser l'auteur d'une infraction, si elles ne doivent pas être restituées au lésé en rétablissement de ses droits. L'art. 71 al. 3 CP permet en outre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En raison de son caractère</w:t>
      </w:r>
    </w:p>
    <w:p>
      <w:r>
        <w:t>- 6/8 - P/21690/2014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L'art. 268 al. 1 CPP permet, de plus,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w:t>
      </w:r>
    </w:p>
    <w:p>
      <w:r>
        <w:rPr>
          <w:b/>
        </w:rPr>
        <w:t>E. 2.3</w:t>
      </w:r>
    </w:p>
    <w:p>
      <w:r>
        <w:t>Le séquestre doit, toutefois, en tout état, respecter le droit constitutionnel de l'intéressé à des conditions minimales d'existence (JdT 2003 III 95) et respecter en cela l'art. 93 LP, lequel dispose que peuvent être saisis, déduction faite de ce que le préposé estime indispensable au débiteur et à sa famille,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À teneur de l'art. 92 al. 1 ch. 9a LP, sont insaisissables les rentes au sens de l’art. 20 LAVS, ou de l’art. 50 LAI, les prestations au sens de l’art. 12 de la loi fédérale sur les prestations complémentaires à l’assurance-vieillesse, survivants et invalidité (LPC) et les prestations des caisses de compensation pour allocations familiales.</w:t>
      </w:r>
    </w:p>
    <w:p>
      <w:r>
        <w:rPr>
          <w:b/>
        </w:rPr>
        <w:t>E. 2.4</w:t>
      </w:r>
    </w:p>
    <w:p>
      <w:r>
        <w:t>En l'espèce, les ordonnances querellées ne mentionnent pas les motifs du séquestre. Dans ses observations sur le recours, le Ministère public, qui s'est limité à conclure – à tort – à la tardiveté de l'acte et à se prononcer sur l'évocation, par le recourant, d'une demande de récusation, n'a pas apporté d'éclaircissements à cet égard. Force est toutefois de constater que si le recourant est prévenu de faux et escroqueries aux assurances sociales, plus particulièrement aux assurances-maladie, les faits dont il est soupçonné au regard de l'assurance-invalidité concernent une tentative d'escroquerie. Par conséquent, les prestations que le recourant perçoit ne paraissent pas être le produit d'une infraction, puisque l'escroquerie n'a, à teneur des faits qui lui sont reprochés, pas été consommée, étant relevé que l'OCAI n'a pas déposé plainte pénale ni ne paraît avoir suspendu ou révoqué le droit du recourant à une rente. Partant, le séquestre de l'allocation et des prestations complémentaires</w:t>
      </w:r>
    </w:p>
    <w:p>
      <w:r>
        <w:t>- 7/8 - P/21690/2014 versées au prévenu sur son compte auprès de D______ ne paraît pas avoir pour fondement la restitution au lésé ou la confiscation de prestations qui auraient été indument perçues. Partant, l'allocation de CHF 3'148.- et les prestations complémentaires de CHF 647.-, en tant qu'elles sont insaisissables selon l'art. 92 LP, ne peuvent pas faire l'objet d'un séquestre en vue de garantir une éventuelle créance compensatrice ou le paiement des frais de la procédure. Le grief est dès lors fondé.</w:t>
      </w:r>
    </w:p>
    <w:p>
      <w:r>
        <w:rPr>
          <w:b/>
        </w:rPr>
        <w:t>E. 3</w:t>
      </w:r>
    </w:p>
    <w:p>
      <w:r>
        <w:t>Le recours sera admis. Le séquestre du compte n. 2_______ auprès de D______ sera levé en tant qu'il porte sur les prestations mensuelles de CHF 3'148.- et CHF 647.-, avec effet rétroactif au jour du séquestre, le 25 juin 2019.</w:t>
      </w:r>
    </w:p>
    <w:p>
      <w:r>
        <w:rPr>
          <w:b/>
        </w:rPr>
        <w:t>E. 4</w:t>
      </w:r>
    </w:p>
    <w:p>
      <w:r>
        <w:t>L'admission du recours ne donne pas lieu à la perception de frais (art. 428 al. 1 CPP).</w:t>
      </w:r>
    </w:p>
    <w:p>
      <w:r>
        <w:rPr>
          <w:b/>
        </w:rPr>
        <w:t>E. 5</w:t>
      </w:r>
    </w:p>
    <w:p>
      <w:r>
        <w:t>Il n'y a pas lieu d'indemniser à ce stade (cf. art. 135 al. 2 CPP) le défenseur d'office. * * * * *</w:t>
      </w:r>
    </w:p>
    <w:p>
      <w:r>
        <w:t>- 8/8 -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