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ACPR/476/2022 vom 13. Juni 2022</w:t>
      </w:r>
    </w:p>
    <w:p>
      <w:r>
        <w:t>GE Cour de justice, 2022-06-13, FR</w:t>
      </w:r>
    </w:p>
    <w:p>
      <w:r>
        <w:rPr>
          <w:b/>
        </w:rPr>
        <w:t xml:space="preserve">Quelle: </w:t>
      </w:r>
      <w:r>
        <w:t>https://mcp.opencaselaw.ch/entscheid/ge_gerichte_ACPR_476_2022</w:t>
      </w:r>
    </w:p>
    <w:p>
      <w:r>
        <w:t>FR: GE_GERICHTE ACPR/476/2022 du 13 juin 2022</w:t>
      </w:r>
    </w:p>
    <w:p>
      <w:r>
        <w:t>IT: GE_GERICHTE ACPR/476/2022 del 13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violation de son droit d'être entendu, faute de motivation suffisante des ordonnances querellées. Force est toutefois de constater que, bien que le TMC ait repris l'argumentation du Ministère public, qu'il a fait sienne en la recopiant, il s'est, ce faisant, prononcé sur le certificat médical produit et a exposé les raisons pour lesquelles les mesures de substitution proposées lui paraissaient insuffisantes. Partant, les ordonnances querellées ne consacrent pas de violation du droit d'être entendu du recourant.</w:t>
      </w:r>
    </w:p>
    <w:p>
      <w:r>
        <w:rPr>
          <w:b/>
        </w:rPr>
        <w:t>E. 3</w:t>
      </w:r>
    </w:p>
    <w:p>
      <w:r>
        <w:t>Le recourant ne s'exprime pas sur les charges retenues. Il n'y a donc pas à s'y attarder, mais à renvoyer, en tant que de besoin, à la motivation adoptée par le premier juge (art 82 al. 4 CPP; ACPR/747/2020 du 22 octobre 2020 consid. 2 et les références), qui expose les indices graves et concordants pesant sur le prévenu, qui admet la quasi-totalité des faits.</w:t>
      </w:r>
    </w:p>
    <w:p>
      <w:r>
        <w:rPr>
          <w:b/>
        </w:rPr>
        <w:t>E. 4</w:t>
      </w:r>
    </w:p>
    <w:p>
      <w:r>
        <w:t>Le recourant conteste à juste titre le risque de collusion retenu par l'autorité précédente, la confrontation des parties et du témoin ayant désormais eu lieu.</w:t>
      </w:r>
    </w:p>
    <w:p>
      <w:r>
        <w:rPr>
          <w:b/>
        </w:rPr>
        <w:t>E. 5</w:t>
      </w:r>
    </w:p>
    <w:p>
      <w:r>
        <w:t>Il conteste également le risque de fuite.</w:t>
      </w:r>
    </w:p>
    <w:p>
      <w:r>
        <w:rPr>
          <w:b/>
        </w:rPr>
        <w:t>E. 5.1</w:t>
      </w:r>
    </w:p>
    <w:p>
      <w:r>
        <w:t>Conformément à l'art. 221 al. 1 let. a CPP, la détention provisoire peut être ordonnée s'il y a sérieusement lieu de craindre que le prévenu se soustraie à la</w:t>
      </w:r>
    </w:p>
    <w:p>
      <w:r>
        <w:t>- 10/14 - P/11294/2022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5.2</w:t>
      </w:r>
    </w:p>
    <w:p>
      <w:r>
        <w:t>En l'espèce, le comportement du recourant le 20 mai 2022 est de nature à faire concrètement craindre qu'il ne prenne la fuite, puisqu'il a déjà manifesté cette intention. Le risque n'est toutefois pas d'une intensité telle à exiger le maintien du prévenu en détention. Pour le pallier, les mesures proposées par le recourant (le dépôt de ses documents d'identité et de ses cartes professionnelles, et le versement de CHF 50'000.-. à titre de sûretés) sont suffisantes, et pourraient donc être ordonnées.</w:t>
      </w:r>
    </w:p>
    <w:p>
      <w:r>
        <w:rPr>
          <w:b/>
        </w:rPr>
        <w:t>E. 6</w:t>
      </w:r>
    </w:p>
    <w:p>
      <w:r>
        <w:t>Reste toutefois à examiner les risques de réitération et de passage à l'acte retenus par l'autorité précédente.</w:t>
      </w:r>
    </w:p>
    <w:p>
      <w:r>
        <w:rPr>
          <w:b/>
        </w:rPr>
        <w:t>E. 6.1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w:t>
      </w:r>
    </w:p>
    <w:p>
      <w:r>
        <w:rPr>
          <w:b/>
        </w:rPr>
        <w:t>E. 6.2</w:t>
      </w:r>
    </w:p>
    <w:p>
      <w:r>
        <w:t>Sur la base de l'art. 221 al. 2 CPP, la détention peut aussi être ordonnée s'il y a sérieusement lieu de craindre qu'une personne passe à l'acte après avoir menacé de commettre un crime grave, sans que l'on puisse se référer à une infraction pénale ayant déjà eu lieu (Message relatif à l'unification du droit de la procédure pénale, FF 2006, p. 1211). Il faut un risque concret et sérieux, ainsi qu'un pronostic très défavorable. En revanche, il n'est pas nécessaire que le suspect ait déjà pris des mesures concrètes pour accomplir l'acte redouté. Il suffit que la probabilité d'un</w:t>
      </w:r>
    </w:p>
    <w:p>
      <w:r>
        <w:t>- 11/14 - P/11294/2022 passage à l'acte apparaisse très élevée sur la base d'une évaluation globale de la situation personnelle et des circonstances. En particulier dans le cas de menaces d'actes de violence graves, il convient de tenir compte de l'état psychique du prévenu, de son imprévisibilité ou de son agressivité. Plus l'infraction menacée est grave, plus la détention se justifie si les éléments à disposition ne permettent pas une évaluation précise du risque (ATF 140 IV 19 consi. 2.1.1 et les références citées).</w:t>
      </w:r>
    </w:p>
    <w:p>
      <w:r>
        <w:rPr>
          <w:b/>
        </w:rPr>
        <w:t>E. 6.3</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de se soumettre à un traitement médical ou à des contrôles (al. 2 let. f). La liste des mesures de substitution énoncée à l'art. 237 CPP n'est pas exhaustive (arrêt du Tribunal fédéral 1B_654/2011 du 7 décembre 2011 consid. 4.2).</w:t>
      </w:r>
    </w:p>
    <w:p>
      <w:r>
        <w:rPr>
          <w:b/>
        </w:rPr>
        <w:t>E. 6.4</w:t>
      </w:r>
    </w:p>
    <w:p>
      <w:r>
        <w:t>En l'espèce, un risque de réitération et de passage à l'acte doit être retenu, compte tenu des motifs et des circonstances ayant conduit le recourant à avertir sa compagne de son intention d'aller chercher son arme pour la tuer, elle et leur enfant ainsi que ses beaux-parents, avant de se suicider. S'il s'agit certes d'un premier épisode, l'impulsivité que le recourant manifeste régulièrement – y compris devant le juge de la détention –, la frustration ressentie depuis plusieurs mois sur le plan professionnel et l'agressivité dirigée à plusieurs reprises contre sa compagne, permettent de redouter que, dans un nouvel élan de rage et de ressentiment, il n'en vienne à nourrir les mêmes intentions que le 20 mai 2022, et ne passe à l'acte. Les évaluations médicales produites font état d'un épisode dépressif majeur d'intensité moyenne à sévère, sur facteur de stress multiples. Le traitement consiste, en plus d'entretiens hebdomadaires avec la psychiatre – prochainement une psychologue –, en l'administration d'un neuroleptique, d'un antidépresseur et de benzodiazépines. Si le prévenu est nosognosique et collaborant, le risque paraît toutefois, en l'état, non négligeable que, une fois libéré, se retrouvant seul, dans un nouvel appartement et éloigné de sa fille – son père vivant à l'étranger et ses frères dans un autre canton –, sans aucune structure médicale contenante, il n'en vienne à nouveau à être dépassé par les idées noires – ce qu'il reconnaît d'ailleurs lui-même, cf. B.i. supra –, sans pouvoir empêcher un passage à l'acte violent, quand bien même son arme aurait été séquestrée. Le certificat médical du 3 juin 2022 précise que la prise en charge du recourant pourrait se poursuivre "dans un établissement de soins adapté à sa situation". En l'état, la bonne évolution du recourant ne permet pas, compte tenu des circonstances et craintes sus-exposées, de le libérer au profit d'un traitement ambulatoire. Le prononcé de mesures de substitution ne pourrait donc intervenir que si le recourant était pris en charge dans un établissement de soins – sous la supervision du SPI –</w:t>
      </w:r>
    </w:p>
    <w:p>
      <w:r>
        <w:t>- 12/14 - P/11294/2022 pour assurer une transition progressive vers un traitement ambulatoire, ce qu'il y a lieu d'organiser. En l'état, la mise en liberté du recourant ne peut donc être ordonnée et la prolongation de la détention provisoire jusqu'au 21 juillet 2022 respecte le principe de la proportionnalité (art. 197 al. 1 et 212 al. 3 CPP).</w:t>
      </w:r>
    </w:p>
    <w:p>
      <w:r>
        <w:rPr>
          <w:b/>
        </w:rPr>
        <w:t>E. 7</w:t>
      </w:r>
    </w:p>
    <w:p>
      <w:r>
        <w:t>Le recours s'avère ainsi infondé et doit être rejeté.</w:t>
      </w:r>
    </w:p>
    <w:p>
      <w:r>
        <w:rPr>
          <w:b/>
        </w:rPr>
        <w:t>E. 8</w:t>
      </w:r>
    </w:p>
    <w:p>
      <w:r>
        <w:t>Le recourant, qui succombe, supportera les frais envers l'État, qui seront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 * * * *</w:t>
      </w:r>
    </w:p>
    <w:p>
      <w:r>
        <w:t>- 13/14 - P/11294/2022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