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ACPR/476/2021 vom 15. Dezember 2020</w:t>
      </w:r>
    </w:p>
    <w:p>
      <w:r>
        <w:t>GE Cour de justice, 2020-12-15, FR</w:t>
      </w:r>
    </w:p>
    <w:p>
      <w:r>
        <w:rPr>
          <w:b/>
        </w:rPr>
        <w:t xml:space="preserve">Quelle: </w:t>
      </w:r>
      <w:r>
        <w:t>https://mcp.opencaselaw.ch/entscheid/ge_gerichte_ACPR_476_2021</w:t>
      </w:r>
    </w:p>
    <w:p>
      <w:r>
        <w:t>FR: GE_GERICHTE ACPR/476/2021 du 15 décembre 2020</w:t>
      </w:r>
    </w:p>
    <w:p>
      <w:r>
        <w:t>IT: GE_GERICHTE ACPR/476/2021 del 15 dicembre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 plainte a été déposée pour des infractions contre le patrimoine de B______ SARL. Agissant en son nom personnel, en tant qu'associé gérant de ladite société, A______ ne revêt donc pas le statut de lésé dans la présente procédure, faute pour lui d'être atteint directement dans ses droits. Il doit par conséquent se voir nier la qualité pour recourir (art. 382 al. 1 CPP; ATF 140 IV 155 consid. 3.3.1; arrêts du Tribunal fédéral 6B_857/2017 du 3 avril 2018 consid. 2.1 in fine ; 6B_367/2017 du 17 janvier 2018 consid. 1.2).</w:t>
      </w:r>
    </w:p>
    <w:p>
      <w:r>
        <w:rPr>
          <w:b/>
        </w:rPr>
        <w:t>E. 2.2</w:t>
      </w:r>
    </w:p>
    <w:p>
      <w:r>
        <w:t>En ce qui concerne le recours de B______ SARL, il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w:t>
      </w:r>
    </w:p>
    <w:p>
      <w:r>
        <w:t>La recourante se plaint d'une constatation inexacte des faits.</w:t>
      </w:r>
    </w:p>
    <w:p>
      <w:r>
        <w:rPr>
          <w:b/>
        </w:rPr>
        <w:t>E. 3.1</w:t>
      </w:r>
    </w:p>
    <w:p>
      <w:r>
        <w:t>Aux termes de l'art. 393 al. 2 let. b CPP, le recours peut être formé pour constatation incomplète ou erronée des faits.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 L'art. 393 al. 2 let. b CPP impose ainsi à l’autorité de recours de substituer sa propre appréciation des preuves à celle de l’autorité précédente. (Y. JEANNERET / A. KUHN / C. PERRIER DEPEURSINGE (éds), op.cit, n. 80 ad art. 393).</w:t>
      </w:r>
    </w:p>
    <w:p>
      <w:r>
        <w:t>- 6/9 - P/25550/2019</w:t>
      </w:r>
    </w:p>
    <w:p>
      <w:r>
        <w:rPr>
          <w:b/>
        </w:rPr>
        <w:t>E. 3.2</w:t>
      </w:r>
    </w:p>
    <w:p>
      <w:r>
        <w:t>En l'espèce, il ressort des correspondances versées à la procédure que B______ SARL se savait en retard de remettre le rapport LBA, à tout le moins dès le mois de novembre 2018. Il appert également que B______ SARL a initialement déclaré ne pas contester l'amende du 5 février 2019. Ces éléments – retenus également dans l'ordonnance querellée – ne sont pas contradictoires avec les pièces du dossier. Il n'y a donc pas lieu de s'en écarter. À l'inverse, les allégations de constatation inexactes des faits de la recourante sont soit non pertinentes, soit contredites par les pièces au dossier, voire les deux. En particulier, l'absence d'une date fixée directement et expressément par C______ pour la remise du rapport LBA ne change rien au fait que B______ SARL était défaillante dans ses obligations, ce qu'elle a d'ailleurs reconnu. En outre, le temps et l'énergie consacrés par A______ – en dépit de son état de santé – pour la rédaction des nombreuses lettres envoyées au nom de la société témoignent du fait qu’il n’était pas empêché, à défaut d’y procéder lui-même, de déléguer la gestion de l'audit ou la contestation de l'amende du 5 février 2019. En résumé, l'état de fait présenté par l'ordonnance querellée ne prête pas le flanc à la critique. Pour le surplus, la constatation des faits dans le sens requis par B______ SARL ne changerait pas l'issue du recours en raison des considérations qui suivent. Il n'est donc pas nécessaire de traiter en détail chaque fait présenté comme inexact dans le recours. En tout état, dès lors que la Chambre de céans dispose d'un plein pouvoir de cognition en droit et en fait (art. 393 al. 2 CPP) (ATF 137 I 195 consid. 2.3.2 p. 197 ; arrêt du Tribunal fédéral 1B_524/2012 du 15 novembre 2012 consid. 2.1.), l'état de fait a été établi en tant que besoin.</w:t>
      </w:r>
    </w:p>
    <w:p>
      <w:r>
        <w:rPr>
          <w:b/>
        </w:rPr>
        <w:t>E. 4</w:t>
      </w:r>
    </w:p>
    <w:p>
      <w:r>
        <w:t>La recourante reproche au Ministère public de n'être pas entré en matière sur sa</w:t>
      </w:r>
    </w:p>
    <w:p>
      <w:r>
        <w:t>plainte pénale.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w:t>
      </w:r>
    </w:p>
    <w:p>
      <w:r>
        <w:rPr>
          <w:b/>
        </w:rPr>
        <w:t>E. 4.2</w:t>
      </w:r>
    </w:p>
    <w:p>
      <w:r>
        <w:t>En l'espèce, aucun comportement pénalement relevant ne saurait être imputé à l'un des organes de l'association.</w:t>
      </w:r>
    </w:p>
    <w:p>
      <w:r>
        <w:t>- 7/9 - P/25550/2019 On cherche en vain en quoi les agissements des dirigeants de C______ seraient astucieux, ce qui suffit à exclure l'escroquerie et l'atteinte astucieuse aux intérêts pécuniaires d'autrui. L'amende, fondée sur les statuts de C______, n'était aucunement constitutive d'une menace proférée sans droit (ATF 120 IV 17 consid. 2a, bb)), ce qui exclut ainsi les infractions de chantage et d'extorsion. Enfin, en l'absence de chose confiée ou de devoir de gestion, les infractions d'abus de confiance et de gestion déloyale ne sont à l'évidence pas réalisées. C'est donc à juste titre que le Ministère public a décidé de ne pas entrer en matière sur la plainte de B______ SARL.</w:t>
      </w:r>
    </w:p>
    <w:p>
      <w:r>
        <w:rPr>
          <w:b/>
        </w:rPr>
        <w:t>E. 4.3</w:t>
      </w:r>
    </w:p>
    <w:p>
      <w:r>
        <w:t>L'apport des dossiers requis par la recourante n'apparaît pas susceptible de renverser ce qui précède. Par conséquent, leur production ne sera pas ordonnée, d'autant plus que B______ SARL – en qualité de partie dans les procédures en question – était parfaitement en mesure de joindre ces pièces à sa plainte du 16 décembre 2019 si elle l'estimait utile.</w:t>
      </w:r>
    </w:p>
    <w:p>
      <w:r>
        <w:rPr>
          <w:b/>
        </w:rPr>
        <w:t>E. 5</w:t>
      </w:r>
    </w:p>
    <w:p>
      <w:r>
        <w:t>Justifiée, l'ordonnance querellée sera donc confirmée.</w:t>
      </w:r>
    </w:p>
    <w:p>
      <w:r>
        <w:rPr>
          <w:b/>
        </w:rPr>
        <w:t>E. 6</w:t>
      </w:r>
    </w:p>
    <w:p>
      <w:r>
        <w:t>Les recourants, qui succombent, supporteront, conjointement et solidairement, les frais envers l'État, fixés en totalité à CHF 1'500.- (art. 428 al. 1 CPP et 13 al. 1 du Règlement fixant le tarif des frais en matière pénale, RTFMP ; E 4 10.03). * * * * *</w:t>
      </w:r>
    </w:p>
    <w:p>
      <w:r>
        <w:t>- 8/9 - P/25550/2019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