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ACPR/475/2020 vom 15. Mai 2020</w:t>
      </w:r>
    </w:p>
    <w:p>
      <w:r>
        <w:t>GE Cour de justice, 2020-05-15, FR</w:t>
      </w:r>
    </w:p>
    <w:p>
      <w:r>
        <w:rPr>
          <w:b/>
        </w:rPr>
        <w:t xml:space="preserve">Quelle: </w:t>
      </w:r>
      <w:r>
        <w:t>https://mcp.opencaselaw.ch/entscheid/ge_gerichte_ACPR_475_2020</w:t>
      </w:r>
    </w:p>
    <w:p>
      <w:r>
        <w:t>FR: GE_GERICHTE ACPR/475/2020 du 15 mai 2020</w:t>
      </w:r>
    </w:p>
    <w:p>
      <w:r>
        <w:t>IT: GE_GERICHTE ACPR/475/2020 del 15 maggio 2020</w:t>
      </w:r>
    </w:p>
    <w:p>
      <w:pPr>
        <w:pStyle w:val="Heading2"/>
      </w:pPr>
      <w:r>
        <w:t>Erwägungen</w:t>
      </w:r>
    </w:p>
    <w:p>
      <w:r>
        <w:rPr>
          <w:b/>
        </w:rPr>
        <w:t>E. 1.1</w:t>
      </w:r>
    </w:p>
    <w:p>
      <w:r>
        <w:t>Le recours a été déposé selon la forme et dans le délai prescrit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 1 CPP), on comprend que le recourant – qui agit en personne – souhaite l'annulation de l'ordonnance querellée et l'ouverture d'une instruction.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w:t>
      </w:r>
    </w:p>
    <w:p>
      <w:r>
        <w:t>- 5/9 - P/15129/2019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rPr>
          <w:b/>
        </w:rPr>
        <w:t>E. 3.3</w:t>
      </w:r>
    </w:p>
    <w:p>
      <w:r>
        <w:t>L'art. 139 ch. 1 CP punit, du chef de vol, celui qui, pour se procurer ou procurer à un tiers un enrichissement illégitime, aura soustrait une chose mobilière appartenant à autrui dans le but de se l'approprier.</w:t>
      </w:r>
    </w:p>
    <w:p>
      <w:r>
        <w:rPr>
          <w:b/>
        </w:rPr>
        <w:t>E. 3.4</w:t>
      </w:r>
    </w:p>
    <w:p>
      <w:r>
        <w:t>En l'espèce, l'absence de soupçon suffisant porte autant sur l'existence d'une infraction que sur celle d'un possible auteur. En effet, hormis les déclarations du recourant, le dossier ne recèle aucun indice concret et concluant laissant à penser qu'un tiers aurait pénétré dans son appartement contre le gré et à l'insu du recourant,</w:t>
      </w:r>
    </w:p>
    <w:p>
      <w:r>
        <w:t>- 6/9 - P/15129/2019 étant relevé que seul le profil ADN de ce dernier a été retrouvé sur le magazine dans lequel aurait été dissimulé le montant dérobé. À cet égard, le recourant, qui émarge à l'aide sociale, n'a pas établi avoir effectivement disposé de cette somme à son domicile ni l'avoir dissimulée dans sa chambre à coucher, n'ayant produit aucune pièce démontrant son existence, en particulier une copie des contrats de prêt qu'il aurait conclus avec la Banque G______. Il convient d'ailleurs de relever que, dans sa plainte, le recourant a dans un premier temps indiqué avoir contracté un seul prêt d'un montant de CHF 25'000.-, puis, lors de son audition par la police, en avoir conclu deux, pour une somme totale de CHF 50'000.-, ce qui permet de douter de la vraisemblance de ses propos. À supposer que tel eût été le cas, on ne discernerait pas pour quelles raisons le recourant aurait conservé une somme aussi importante dans sa chambre à coucher, à côté de son lit – dès lors facilement accessible – et omis de verrouiller sa porte d'entrée le jour de l'infraction. Il a d'ailleurs reconnu, lors de son audition, qu'il était notoire que les portes palières de son immeuble pouvaient être ouvertes lorsqu'elles n'étaient pas verrouillées, tout en soutenant l'ignorer au moment des faits. S'agissant des auteurs présumés, le recourant n'apporte aucun élément concret laissant penser qu'ils seraient effectivement entrés dans son appartement et lui auraient volé l'argent. Partant, c'est avec raison que le Ministère public a considéré que l'enquête menée par la police n'avait pas donné de résultats probants et qu'aucune investigation supplémentaire ne paraissait susceptible d'établir les allégations dénoncées.</w:t>
      </w:r>
    </w:p>
    <w:p>
      <w:r>
        <w:rPr>
          <w:b/>
        </w:rPr>
        <w:t>E. 4</w:t>
      </w:r>
    </w:p>
    <w:p>
      <w:r>
        <w:t>Justifiée, l'ordonnance querellée sera donc confirmée.</w:t>
      </w:r>
    </w:p>
    <w:p>
      <w:r>
        <w:rPr>
          <w:b/>
        </w:rPr>
        <w:t>E. 5</w:t>
      </w:r>
    </w:p>
    <w:p>
      <w:r>
        <w:t>Le recourant a demandé à bénéficier de l'assistance d'un avocat.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t>- 7/9 - P/15129/2019</w:t>
      </w:r>
    </w:p>
    <w:p>
      <w:r>
        <w:rPr>
          <w:b/>
        </w:rPr>
        <w:t>E. 5.3</w:t>
      </w:r>
    </w:p>
    <w:p>
      <w:r>
        <w:t>En l'espèce, quand bien même le recourant serait indigent, il a été jugé supra que ses griefs étaient juridiquement – et d'emblée – infondés. La requête ne peut dès lors qu'être rejetée.</w:t>
      </w:r>
    </w:p>
    <w:p>
      <w:r>
        <w:rPr>
          <w:b/>
        </w:rPr>
        <w:t>E. 6</w:t>
      </w:r>
    </w:p>
    <w:p>
      <w:r>
        <w:t>Le recourant, qui succombe, supportera les frais envers l'État, fixés en totalité à CHF 500.-, pour tenir compte de sa situation financière (art. 428 al. 1 CPP et 13 al. 1 du Règlement fixant le tarif des frais en matière pénale, RTFMP ; E 4 10.03). * * * * *</w:t>
      </w:r>
    </w:p>
    <w:p>
      <w:r>
        <w:t>- 8/9 - P/15129/2019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