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ACPR/474/2020 vom 26. Juni 2020</w:t>
      </w:r>
    </w:p>
    <w:p>
      <w:r>
        <w:t>GE Cour de justice, 2020-06-26, FR</w:t>
      </w:r>
    </w:p>
    <w:p>
      <w:r>
        <w:rPr>
          <w:b/>
        </w:rPr>
        <w:t xml:space="preserve">Quelle: </w:t>
      </w:r>
      <w:r>
        <w:t>https://mcp.opencaselaw.ch/entscheid/ge_gerichte_ACPR_474_2020</w:t>
      </w:r>
    </w:p>
    <w:p>
      <w:r>
        <w:t>FR: GE_GERICHTE ACPR/474/2020 du 26 juin 2020</w:t>
      </w:r>
    </w:p>
    <w:p>
      <w:r>
        <w:t>IT: GE_GERICHTE ACPR/474/2020 del 26 giugno 2020</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26 juin 2020 –, concerner une décision sujette à recours auprès de la Chambre de céans (art. 20 al. 1 let. c et 393 al. 1 let. c) et émaner du Ministère public, partie au procès (art. 104 al. 1 let. c CPP), qui a qualité pour recourir (art. 381 al. 1 CPP; ATF 137 IV 22).</w:t>
      </w:r>
    </w:p>
    <w:p>
      <w:r>
        <w:rPr>
          <w:b/>
        </w:rPr>
        <w:t>E. 2</w:t>
      </w:r>
    </w:p>
    <w:p>
      <w:r>
        <w:t>La recevabilité des pièces produites en réplique seulement par le Ministère public peut rester indécise, car le sort de la cause n'en dépend pas.</w:t>
      </w:r>
    </w:p>
    <w:p>
      <w:r>
        <w:t>- 5/10 - P/22360/2019</w:t>
      </w:r>
    </w:p>
    <w:p>
      <w:r>
        <w:rPr>
          <w:b/>
        </w:rPr>
        <w:t>E. 3</w:t>
      </w:r>
    </w:p>
    <w:p>
      <w:r>
        <w:t>Le recourant reproche au TMC d'avoir écarté le risque de fuite, que de précédentes décisions opposaient pourtant au prévenu, intimé.</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 Le danger de disparaître dans la clandestinité en Suisse est aussi un aspect du risque de fuite (arrêt du Tribunal fédéral 1B_334/2018 du 30 juillet 2018 consid. 5.1.).</w:t>
      </w:r>
    </w:p>
    <w:p>
      <w:r>
        <w:rPr>
          <w:b/>
        </w:rPr>
        <w:t>E. 3.2</w:t>
      </w:r>
    </w:p>
    <w:p>
      <w:r>
        <w:t>On notera, à titre liminaire, que le TMC n'était pas lié par les motifs retenus dans ses précédentes décisions (arrêt du Tribunal fédéral 1B_640/2012 du 13 novembre 2012 consid. 3.2). C'est en effet la situation au moment où il est saisi qui prévaut dans l'analyse des conditions au maintien en détention. Cet examen est fondé sur les éléments du dossier de la procédure et peut par conséquent évoluer en fonction de l'avancement de l'instruction (ibid.). Par ailleurs, le TMC n'est, bien évidemment, pas non plus tenu par les motifs exposés dans la demande du ministère public (ACPR/627/2016 du 29 septembre 2016 consid. 2.1.3.).</w:t>
      </w:r>
    </w:p>
    <w:p>
      <w:r>
        <w:rPr>
          <w:b/>
        </w:rPr>
        <w:t>E. 3.3</w:t>
      </w:r>
    </w:p>
    <w:p>
      <w:r>
        <w:t>En l'espèce, dans sa décision précédente, le TMC qualifiait le risque de fuite de "ténu", comme il l'avait déjà jugé les 16 décembre 2019, 28 janvier 2020 et 4 février 2010. Dans tous ses prononcés, il n'a jamais expliqué ce risque autrement qu'en reprenant la motivation du Ministère public affirmant redouter une plongée dans la clandestinité, i.e. sans jamais opposer au prévenu intimé d'éventuels liens avec l'étranger. Pour sa part, la Chambre de céans n'a jamais eu à se prononcer sur ce critère. La peine menace de la plus grave des préventions notifiées (la tentative d'homicide), certes élevée et possiblement en concours (art. 49 CP), y compris avec la rixe (arrêt du Tribunal fédéral 6B_111/2009 du 16 juillet 2009 consid. 1.2.), ne constitue pas à elle seule un indice suffisant de soustraction aux actes ultérieurs de la procédure. Il ressort du dossier que le prévenu intimé, de langue maternelle française, a la nationalité suisse, sans autre citoyenneté; qu'il est établi dans le canton de Genève, où il occupait un emploi et où vivent ses parents; et qu'il est incorporé dans l'armée. Comme le montre le contexte entourant les faits reprochés, son réseau relationnel et social est ancré dans le canton. Il fréquente une amie intime depuis trois ans. Son</w:t>
      </w:r>
    </w:p>
    <w:p>
      <w:r>
        <w:t>- 6/10 - P/22360/2019 employeur a obtenu d'emblée un permis de visites multiples à la prison; celui demandé par son amie intime a été accordé après l'audience du 8 mai 2020. On ne voit donc pas sur quels éléments précis et concrets le TMC aurait pu et dû s'appuyer pour accréditer un risque de disparition du prévenu dans la clandestinité. Le Ministère public n'en fournit aucun, et il n'apparaît pas avoir autrement cherché à établir la situation personnelle de l'intéressé (cf. art. 308 al. 2 CPP). Le TMC a donc écarté le risque de fuite à juste titre.</w:t>
      </w:r>
    </w:p>
    <w:p>
      <w:r>
        <w:rPr>
          <w:b/>
        </w:rPr>
        <w:t>E. 4</w:t>
      </w:r>
    </w:p>
    <w:p>
      <w:r>
        <w:t>Le recourant estime que le risque de réitération s'oppose à une libération, fût-ce sous mesures de substitution.</w:t>
      </w:r>
    </w:p>
    <w:p>
      <w:r>
        <w:rPr>
          <w:b/>
        </w:rPr>
        <w:t>E. 4.1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 14).</w:t>
      </w:r>
    </w:p>
    <w:p>
      <w:r>
        <w:rPr>
          <w:b/>
        </w:rPr>
        <w:t>E. 4.2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Dès lors, un pronostic défavorable est nécessaire (et, en principe, également suffisant) pour admettre l'existence d'un tel risque (ATF 143 IV 9 consid. 2.9 p. 17).</w:t>
      </w:r>
    </w:p>
    <w:p>
      <w:r>
        <w:rPr>
          <w:b/>
        </w:rPr>
        <w:t>E. 4.3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w:t>
      </w:r>
    </w:p>
    <w:p>
      <w:r>
        <w:t>- 7/10 - P/22360/2019 soupçonné – avec une probabilité confinant à la certitude – de les avoir commises (ATF 143 IV 9 consid. 2.3.1 p. 12 s.).</w:t>
      </w:r>
    </w:p>
    <w:p>
      <w:r>
        <w:rPr>
          <w:b/>
        </w:rPr>
        <w:t>E. 4.4</w:t>
      </w:r>
    </w:p>
    <w:p>
      <w:r>
        <w:t>En l'espèce, la Chambre de céans a constamment retenu le caractère concret du risque de réitération. Elle a aussi relevé que le prévenu se contentait jusqu'alors de déclarations, abstraites, de bonne volonté sur un suivi en addictologie (ACPR/19/2020 consid. 3.5.). Le 30 avril 2020, le TMC a relevé, à juste titre, que, la veille encore (déterminations du recourant sur la demande de prolongation de détention), le prévenu le laissait apprécier s'il était habité par une impulsivité préoccupante pour la sécurité d'autrui. Par ailleurs, le suivi commencé en prison n'est qu'une allégation non documentée du prévenu. La démarche serait encourageante, mais l'on ignore si ce suivi porte sur la problématique d'une violence impulsive, d'une addiction à l'alcool ou les deux et s'il porte déjà quelques fruits, en particulier sous la forme d'une prise de conscience sincère de l'intimé. En l'état, il est donc impossible de se satisfaire de la déclaration, en elle-même encourageante, elle aussi, signée par un médecin de ville, qui serait amené à reprendre le suivi en cours à la prison. Le risque pour la sécurité publique reste ainsi élevé, quoi qu'ait voulu en témoigner l'amie intime du prévenu le 8 mai 2020.</w:t>
      </w:r>
    </w:p>
    <w:p>
      <w:r>
        <w:rPr>
          <w:b/>
        </w:rPr>
        <w:t>E. 4.5</w:t>
      </w:r>
    </w:p>
    <w:p>
      <w:r>
        <w:t>On doit toutefois se demander si l'astreinte à une expertise psychiatrique (ch. 3 let. h. du dispositif querellé) a été ajoutée comme un palliatif supplémentaire à la récidive, en ce sens qu'elle se conjuguerait efficacement avec le suivi psychothérapeutique. L'idée ne paraît pas avoir été directement suggérée par le prévenu (cf. p.-v. d'audience du TMC du 26 juin 2020 p.3), et le premier juge n'a pas motivé son choix. Dans le cours de l'instruction préparatoire – a priori finissante, puisque seule est annoncée une ultime audience –, le Ministère public et les autres parties n'ont pas exprimé de doute sur la responsabilité pénale du prévenu, au sens de l'art. 20 CP. Les circonstances de l'altercation du 3 novembre 2019 et les échos antérieurs d'une propension rapide du prévenu à l'agressivité n'y conduisent pas sans autre. Quoi qu'il en soit, la soumission à une expertise psychiatrique n'offre, en elle-même, aucune atténuation du risque de récidive. Cette mesure de substitution n'a donc pas d'utilité sous cet angle.</w:t>
      </w:r>
    </w:p>
    <w:p>
      <w:r>
        <w:rPr>
          <w:b/>
        </w:rPr>
        <w:t>E. 4.6</w:t>
      </w:r>
    </w:p>
    <w:p>
      <w:r>
        <w:t>Il s'ensuit que, même combinée avec la reprise d'une vie professionnelle et sociale usuelle, la mesure de substitution proposée sous sa forme actuelle d'un suivi psychothérapeutique, de contenu et de finalité indéterminées, ne serait pas un frein suffisant au risque de récidive.</w:t>
      </w:r>
    </w:p>
    <w:p>
      <w:r>
        <w:rPr>
          <w:b/>
        </w:rPr>
        <w:t>E. 5</w:t>
      </w:r>
    </w:p>
    <w:p>
      <w:r>
        <w:t>Le recours s'avère ainsi fondé et doit être admis.</w:t>
      </w:r>
    </w:p>
    <w:p>
      <w:r>
        <w:t>- 8/10 - P/22360/2019</w:t>
      </w:r>
    </w:p>
    <w:p>
      <w:r>
        <w:rPr>
          <w:b/>
        </w:rPr>
        <w:t>E. 6</w:t>
      </w:r>
    </w:p>
    <w:p>
      <w:r>
        <w:t>Le recourant conclut à une prolongation de détention pour la durée de deux mois. Ce grief doit être examiné sous l'angle du principe de la proportionnalité, dès lors que les charges – quoi qu'il en aille de leur qualification au moment d'engager l'accusation – ne sont pas contestées et que le risque de réitération fait obstacle à une libération.</w:t>
      </w:r>
    </w:p>
    <w:p>
      <w:r>
        <w:rPr>
          <w:b/>
        </w:rPr>
        <w:t>E. 6.1</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w:t>
      </w:r>
    </w:p>
    <w:p>
      <w:r>
        <w:rPr>
          <w:b/>
        </w:rPr>
        <w:t>E. 6.2</w:t>
      </w:r>
    </w:p>
    <w:p>
      <w:r>
        <w:t>En l'espèce, s'il devait être reconnu coupable des préventions retenues contre lui, le prévenu ne paraît pas s'exposer concrètement à une peine inférieure à la durée actuelle de sa privation de liberté. Le contraire n'est pas prétendu par l'intéressé, qui précise d'ailleurs dans ses observations au recours ne pas vouloir plaider la légitime défense. En outre, la tenue d'une ultime audience laisse augurer de la prochaine clôture de l'instruction et, post hoc ergo propter hoc, d'un renvoi en jugement. La durée à laquelle conclut le Ministère public peut ainsi être adoptée. La prolongation de la détention du prévenu, intimé, sera donc autorisée jusqu'au</w:t>
      </w:r>
    </w:p>
    <w:p>
      <w:r>
        <w:rPr>
          <w:b/>
        </w:rPr>
        <w:t>E. 7</w:t>
      </w:r>
    </w:p>
    <w:p>
      <w:r>
        <w:t>L'intimé, qui n'a pas gain de cause et ne bénéficie plus d'une défense d'office, assumera les frais de l'instance, fixés en totalité à CHF 900.- (art. 428 al. 1 CPP; art. 13 RTFMP, RSG E 4 10.03).</w:t>
      </w:r>
    </w:p>
    <w:p>
      <w:r>
        <w:rPr>
          <w:b/>
        </w:rPr>
        <w:t>E. 8</w:t>
      </w:r>
    </w:p>
    <w:p>
      <w:r>
        <w:t>Le dispositif de la présente décision sera communiqué au SPI, dès lors que l'ordonnance attaquée lui avait été notifiée. * * * * *</w:t>
      </w:r>
    </w:p>
    <w:p>
      <w:r>
        <w:t>- 9/10 - P/22360/2019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