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ACPR/474/2019 vom 24. Mai 2019</w:t>
      </w:r>
    </w:p>
    <w:p>
      <w:r>
        <w:t>GE Cour de justice, 2019-05-24, FR</w:t>
      </w:r>
    </w:p>
    <w:p>
      <w:r>
        <w:rPr>
          <w:b/>
        </w:rPr>
        <w:t xml:space="preserve">Quelle: </w:t>
      </w:r>
      <w:r>
        <w:t>https://mcp.opencaselaw.ch/entscheid/ge_gerichte_ACPR_474_2019</w:t>
      </w:r>
    </w:p>
    <w:p>
      <w:r>
        <w:t>FR: GE_GERICHTE ACPR/474/2019 du 24 mai 2019</w:t>
      </w:r>
    </w:p>
    <w:p>
      <w:r>
        <w:t>IT: GE_GERICHTE ACPR/474/2019 del 24 maggio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w:t>
      </w:r>
    </w:p>
    <w:p>
      <w:r>
        <w:t>- 5/9 - P/15737/2018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Le recourant conteste s'adonner à un trafic d'héroïne de grande ampleur. Il n'avait joué qu'un rôle d'intermédiaire à quelques reprises et à concurrence de 60 grammes d'héroïne. Ces dénégations partielles semblent contredites par les éléments du dossier, et notamment sa mise en cause par plusieurs toxicomanes, pour des quantités supérieures. Les charges sont ainsi graves et suffisantes et ne se sont pas amoindries depuis le début de l'enquête.</w:t>
      </w:r>
    </w:p>
    <w:p>
      <w:r>
        <w:rPr>
          <w:b/>
        </w:rPr>
        <w:t>E. 3</w:t>
      </w:r>
    </w:p>
    <w:p>
      <w:r>
        <w:t>Le recourant conteste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t>4.1.2. L'art. 237 al. 1 CPP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w:t>
      </w:r>
    </w:p>
    <w:p>
      <w:r>
        <w:rPr>
          <w:b/>
        </w:rPr>
        <w:t>E. 4</w:t>
      </w:r>
    </w:p>
    <w:p>
      <w:r>
        <w:t>Le recourant conteste tout risque de réitération.</w:t>
      </w:r>
    </w:p>
    <w:p>
      <w:r>
        <w:t>4.1.1. 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w:t>
      </w:r>
    </w:p>
    <w:p>
      <w:r>
        <w:rPr>
          <w:b/>
        </w:rPr>
        <w:t>E. 4.2</w:t>
      </w:r>
    </w:p>
    <w:p>
      <w:r>
        <w:t>En l'occurrence, le recourant semble avoir agi sur une longue période. Rentier AI, il dispose de minces ressources qui pourraient l'inciter à commettre à nouveau</w:t>
      </w:r>
    </w:p>
    <w:p>
      <w:r>
        <w:t>- 7/9 - P/15737/2018 des infractions graves à la LStup. On peut à cet égard douter que la présente procédure ait un quelconque effet dissuasif sur lui, le recourant persistant à contester la majeure partie des faits, malgré les éléments à charge du dossier. Quant au suivi addictologique qu'il préconise à titre de mesure de substitution pour pallier ce risque (art. 237 al. 1 CPP), quand bien même il aurait déjà entrepris des démarches en ce sens – ce qu'il n'établit pas –, il n'apparaît à l'évidence pas suffisant, vu la gravité des faits reprochés, d'une part, et l'absence d'élément au dossier sur l'indication et le type de traitement éventuellement nécessaire, d'autre part.</w:t>
      </w:r>
    </w:p>
    <w:p>
      <w:r>
        <w:rPr>
          <w:b/>
        </w:rPr>
        <w:t>E. 5</w:t>
      </w:r>
    </w:p>
    <w:p>
      <w:r>
        <w:t>L'admission des risques précités dispense d'examiner si s'y ajoute encore un risque de fuite.</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6.2</w:t>
      </w:r>
    </w:p>
    <w:p>
      <w:r>
        <w:t>Le recourant sollicite subsidiairement que la durée de la prolongation de sa détention provisoire n'excède pas un mois.</w:t>
      </w:r>
    </w:p>
    <w:p>
      <w:r>
        <w:t>Certes, le recourant est détenu depuis presque dix mois. L'enquête semble toutefois toucher à sa fin, de sorte que son renvoi en jugement devrait pouvoir intervenir prochainement.</w:t>
      </w:r>
    </w:p>
    <w:p>
      <w:r>
        <w:t>Compte tenu de la peine-menace et concrètement encourue par le prévenu, force est de constater que la durée de la détention provisoire subie jusqu'alors et jusqu'à l'échéance fixée par l'ordonnance querellée demeure encore proportionnée.</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 * * * *</w:t>
      </w:r>
    </w:p>
    <w:p>
      <w:r>
        <w:t>- 8/9 - P/15737/2018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