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ACPR/473/2026 vom 12. Mai 2026</w:t>
      </w:r>
    </w:p>
    <w:p>
      <w:r>
        <w:t>GE Cour de justice, 2026-05-12, FR</w:t>
      </w:r>
    </w:p>
    <w:p>
      <w:r>
        <w:rPr>
          <w:b/>
        </w:rPr>
        <w:t xml:space="preserve">Quelle: </w:t>
      </w:r>
      <w:r>
        <w:t>https://mcp.opencaselaw.ch/entscheid/ge_gerichte_ACPR_473_2026</w:t>
      </w:r>
    </w:p>
    <w:p>
      <w:r>
        <w:t>FR: GE_GERICHTE ACPR/473/2026 du 12 mai 2026</w:t>
      </w:r>
    </w:p>
    <w:p>
      <w:r>
        <w:t>IT: GE_GERICHTE ACPR/473/2026 del 12 maggio 2026</w:t>
      </w:r>
    </w:p>
    <w:p>
      <w:pPr>
        <w:pStyle w:val="Heading2"/>
      </w:pPr>
      <w:r>
        <w:t>Erwägungen</w:t>
      </w:r>
    </w:p>
    <w:p>
      <w:r>
        <w:rPr>
          <w:b/>
        </w:rPr>
        <w:t>E. 1.1</w:t>
      </w:r>
    </w:p>
    <w:p>
      <w:r>
        <w:t>Le recours a été déposé selon la forme ainsi que dans le délai prescrits (art. 385 al. 1 et 396 al. 1 CPP) et concerne une ordonnance sujette à recours auprès de la Chambre de céans (art. 393 al. 1 let. a CPP). 1.2.1. Il convient encore d’examiner, au préalable, la qualité pour agir du recourant eu égard aux circonstances et aux infractions invoquées (art. 173, 174 et 177 CP). 1.2.2.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128 IV 53 consid. 1a). La question de savoir si une personne est directement atteinte dans son honneur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w:t>
      </w:r>
    </w:p>
    <w:p>
      <w:r>
        <w:t>- 6/13 - P/376/2026 mais qu'il suffit qu'elle soit reconnaissable (ATF 117 IV 27 consid. 2c; arrêt du Tribunal fédéral 6S.504/2005 du 28 février 2006 consid. 1.1). 1.2.3. En l’espèce, les propos incriminés n’ont pas été directement adressés au recourant et ne visent pas uniquement ce dernier. En tant que ceux-ci concernent le frère et la mère du précité, le recours n’apparaît pas recevable. Il ne l’est qu’en ce qui concerne les allégations visant le recourant, soit essentiellement celles de "violeur" et de "fils de pute", qui sont susceptibles de constituer une atteinte à son honneur, lui conférant un intérêt à agir en tant que plaignant (art. 104 al. 1 let. b, 115 al. 1, 118 al. 1 et 382 al. 1 CPP). Partant, le recours est recevable dans la mesure qui précède.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pénale. 3.1.1.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s'il existe des empêchements de procéder (let. b) ou si les conditions mentionnées à l’art. 8 CPP imposent de renoncer à l’ouverture d’une poursuite pénale (let. c). 3.1.2. Au moment de statuer sur l'ouverture éventuelle de l'instruction, le ministère public doit examiner si les conditions d'exercice de l'action publique sont réunies, c'est- 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3.1.3.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w:t>
      </w:r>
    </w:p>
    <w:p>
      <w:r>
        <w:rPr>
          <w:b/>
        </w:rPr>
        <w:t>E. 7</w:t>
      </w:r>
    </w:p>
    <w:p>
      <w:r>
        <w:t>Le recourant, qui succombe, supportera les frais envers l'État, qui seront fixés en totalité à CHF 900.- (art. 428 al. 1 CPP et 13 al. 1 du Règlement fixant le tarif des frais en matière pénale, RTFMP; E 4 10.03). Le refus d'octroi de l'assistance juridique gratuite est, quant à lui, rendu sans frais (art. 20 RAJ).</w:t>
      </w:r>
    </w:p>
    <w:p>
      <w:r>
        <w:t>* * * * *</w:t>
      </w:r>
    </w:p>
    <w:p>
      <w:r>
        <w:t>- 12/13 - P/376/2026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