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ACPR/473/2022 vom 6. Juli 2022</w:t>
      </w:r>
    </w:p>
    <w:p>
      <w:r>
        <w:t>GE Cour de justice, 2022-07-06, FR</w:t>
      </w:r>
    </w:p>
    <w:p>
      <w:r>
        <w:rPr>
          <w:b/>
        </w:rPr>
        <w:t xml:space="preserve">Quelle: </w:t>
      </w:r>
      <w:r>
        <w:t>https://mcp.opencaselaw.ch/entscheid/ge_gerichte_ACPR_473_2022</w:t>
      </w:r>
    </w:p>
    <w:p>
      <w:r>
        <w:t>FR: GE_GERICHTE ACPR/473/2022 du 6 juillet 2022</w:t>
      </w:r>
    </w:p>
    <w:p>
      <w:r>
        <w:t>IT: GE_GERICHTE ACPR/473/2022 del 6 luglio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 reproche au Ministère public de ne pas être entré en matière sur les faits dénoncés dans sa plainte.</w:t>
      </w:r>
    </w:p>
    <w:p>
      <w:r>
        <w:rPr>
          <w:b/>
        </w:rPr>
        <w:t>E. 2.1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w:t>
      </w:r>
    </w:p>
    <w:p>
      <w:r>
        <w:t>- 6/9 - P/251/2022 remplies (ATF 146 IV 68 consid. 2.1 p. 69).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2.2</w:t>
      </w:r>
    </w:p>
    <w:p>
      <w:r>
        <w:t>L'art. 125 al. 1 CP punit celui qui, par négligence, aura fait subir à une personne une atteinte à son intégrité corporelle ou à la santé. L'infraction se poursuit d'office en cas de lésions corporelles graves (art. 125 al. 2 CP), sur plainte, en présence de lésions corporelles simples (art. 125 al. 1 CP). L'art. 122 CP réprime notamment le comportement de celui qui, intentionnellement, aura mutilé le corps d'une personne, un de ses membres ou un de ses organes importants ou causé à une personne une incapacité de travail, une infirmité ou une maladie mentale permanentes, ou aura intentionnellement fait subir à une personne toute autre atteinte grave à l'intégrité corporelle ou à la santé physique ou mentale.</w:t>
      </w:r>
    </w:p>
    <w:p>
      <w:r>
        <w:rPr>
          <w:b/>
        </w:rPr>
        <w:t>E. 2.3</w:t>
      </w:r>
    </w:p>
    <w:p>
      <w:r>
        <w:t>En l'espèce, la plainte de la recourante et tous ses développements ultérieurs se fondent sur la prémisse que l'opération chirurgicale subie le 20 juillet 2007 ne correspondrait pas à celle prévue et discutée en amont avec le corps médical. Or, cette proposition apparaît erronée. Parmi les documents soumis à la recourante avant son opération, le "Protocole d'information pour un curetage explorateur et hystéroscopie", dont elle admet elle- même avoir eu connaissance, expliquait et résumait l'intervention à venir. En particulier, le document définissait le "curetage" comme le " raclage de la muqueuse de la cavité de la matrice". Quant au terme résection, il désigne une "ablation chirurgicale d'une partie d'un organe, en conservant les parties saines et en rétablissant, s'il y a lieu, leur continuité" (www.larousse.fr/dictionnaires/francais/résection). Ainsi, les documents pré- et postopératoires ne sont pas contradictoires, en particulier lorsque ces derniers mentionnent une "résection endométriale". En termes plus courant, ils disent l'un comme l'autre que l'intervention consistait notamment à enlever une partie de la muqueuse utérine, soit l'endomètre, dans le cadre d'un traitement de fibromes utérins.</w:t>
      </w:r>
    </w:p>
    <w:p>
      <w:r>
        <w:t>- 7/9 - P/251/2022 Il en découle que par le biais du protocole susmentionné, la recourante a pleinement été informée de l'opération à venir et qu'en signant le document "Entretien d'information", elle y a consenti. En outre, il a été tenu compte, à teneur des documents opératoires, de son désir de grossesse. Enfin, il n'existe pas d'indice suffisant pour établir un lien entre l'intervention chirurgicale et l'infertilité alléguée de la recourante. Les avis qu'elle produit à cet égard n'ont qu'une valeur de simples allégués (ATF 142 II 355 consid. 6 p. 359), étant rappelé, au demeurant, que celui du Dr E______ a été rendu sans que la recourante ne soit auscultée par l'auteur. Dans ces circonstances, il n'y a pas la place pour la commission d'une infraction.</w:t>
      </w:r>
    </w:p>
    <w:p>
      <w:r>
        <w:rPr>
          <w:b/>
        </w:rPr>
        <w:t>E. 3</w:t>
      </w:r>
    </w:p>
    <w:p>
      <w:r>
        <w:t>Justifiée, l'ordonnance querellée sera donc confirmée.</w:t>
      </w:r>
    </w:p>
    <w:p>
      <w:r>
        <w:rPr>
          <w:b/>
        </w:rPr>
        <w:t>E. 4</w:t>
      </w:r>
    </w:p>
    <w:p>
      <w:r>
        <w:t>La recourante, qui succombe, supportera les frais envers l'État, fixés en intégralité à CHF 1'000.- (art. 428 al. 1 CPP et 13 al. 1 du Règlement fixant le tarif des frais en matière pénale, RTFMP ; E 4 10.03). * * * * *</w:t>
      </w:r>
    </w:p>
    <w:p>
      <w:r>
        <w:t>- 8/9 - P/251/2022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