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ACPR/471/2024 vom 3. Oktober 2023</w:t>
      </w:r>
    </w:p>
    <w:p>
      <w:r>
        <w:t>GE Cour de justice, 2023-10-03, FR</w:t>
      </w:r>
    </w:p>
    <w:p>
      <w:r>
        <w:rPr>
          <w:b/>
        </w:rPr>
        <w:t xml:space="preserve">Quelle: </w:t>
      </w:r>
      <w:r>
        <w:t>https://mcp.opencaselaw.ch/entscheid/ge_gerichte_ACPR_471_2024</w:t>
      </w:r>
    </w:p>
    <w:p>
      <w:r>
        <w:t>FR: GE_GERICHTE ACPR/471/2024 du 3 octobre 2023</w:t>
      </w:r>
    </w:p>
    <w:p>
      <w:r>
        <w:t>IT: GE_GERICHTE ACPR/471/2024 del 3 ottobre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 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2ème éd., Bâle 2019, n. 8 ad art. 310).</w:t>
      </w:r>
    </w:p>
    <w:p>
      <w:r>
        <w:rPr>
          <w:b/>
        </w:rPr>
        <w:t>E. 3</w:t>
      </w:r>
    </w:p>
    <w:p>
      <w:r>
        <w:t>Pour être valable, la plainte doit exposer le déroulement des faits sur lesquels elle porte, afin que l'autorité pénale sache pour quel état de fait l'ayant droit demande une poursuite pénale. Elle doit contenir un exposé des circonstances concrètes, sans qu'il soit nécessaire qu'elles soient absolument complètes (arrêt du Tribunal fédéral</w:t>
      </w:r>
    </w:p>
    <w:p>
      <w:r>
        <w:t>- 5/10 - P/10588/2023 6B_1297/2017 du 26 juillet 2018 consid. 1.1.1; L. MOREILLON / A. MACALUSO / N. QUELOZ / N. DONGOIS (éds), Commentaire romand, Code pénal I, art. 1-110 CP, 2ème éd., Bâle 2021, n. 8 ad art. 30). En règle générale, celui qui dépose plainte dénonce un état de fait déterminé, alors que la qualification juridique de l'acte appartient aux autorités. Si le plaignant énonce les éléments constitutifs qui, selon lui, sont réalisés, l'autorité n'est pas liée par cette qualification. Cela n'exclut en revanche pas que le plaignant limite sa plainte en n'indiquant que partiellement les faits pour lesquels il requiert une poursuite pénale (arrêt du Tribunal fédéral 6B_1009/2014 du 2 avril 2015 consid. 2.1.1.). Dans certaines circonstances, le fait d’insister sur une qualification juridique particulière plutôt qu’une autre, peut avoir certaines conséquences quant à l’interprétation de la portée de la plainte. Ainsi, on doit partir du principe qu’une plainte pour dénonciation calomnieuse au sens de l'art. 303 CP englobe également une atteinte à l’honneur au sens des art. 173 ss CP. Toutefois, si le plaignant se limite à invoquer expressément l'art. 303 CP, alors que l’autorité de police a attiré son attention sur la nécessité de préciser s’il entendait étendre sa plainte à la diffamation, l’autorité doit interpréter son silence comme exprimant sa volonté de limiter sa plainte à la dénonciation calomnieuse (ATF 115 IV 1 consid. 1; L. MOREILLON / A. MACALUSO / N. QUELOZ / N. DONGOIS (éds), op. cit., n. 10 ad art. 30). Le lésé peut également dénoncer des actes, sans formellement porter plainte, avec pour conséquence que seuls les actes poursuivis d'office feront l'objet de l'enquête pénale et d'une éventuelle condamnation (ATF 85 IV 73 consid. 2 JdT 1960 IV 2; 68 IV 68 JdT 1942 I 644; L. MOREILLON / A. MACALUSO / N. QUELOZ / N. DONGOIS (éds), op. cit., n. 9 ad art. 30). En revanche, il n'appartient pas aux autorités pénales de rechercher si des éléments évoqués par un recourant ou des pièces fournies en annexe à sa plainte peuvent fonder des poursuites concernant des agissements qui n'ont pas été expressément dénoncés (arrêt du Tribunal fédéral 6B_1340/2018 du 15 février 2019 consid. 2.5).</w:t>
      </w:r>
    </w:p>
    <w:p>
      <w:r>
        <w:rPr>
          <w:b/>
        </w:rPr>
        <w:t>E. 4</w:t>
      </w:r>
    </w:p>
    <w:p>
      <w:r>
        <w:t>L'art. 186 CP, punit, sur plainte, quiconque,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w:t>
      </w:r>
    </w:p>
    <w:p>
      <w:r>
        <w:rPr>
          <w:b/>
        </w:rPr>
        <w:t>E. 4.1</w:t>
      </w:r>
    </w:p>
    <w:p>
      <w:r>
        <w:t>La violation de domicile peut revêtir deux formes: soit l'auteur pénètre dans les lieux contre la volonté de l'ayant droit, soit il y demeure au mépris de l'injonction de sortir à lui adressée par l'ayant droit. S'agissant de la première hypothèse, l'infraction est consommée dès que l'auteur s'introduit contre la volonté de l'ayant droit dans le</w:t>
      </w:r>
    </w:p>
    <w:p>
      <w:r>
        <w:t>- 6/10 - P/10588/2023 domaine clos, par exemple par une clôture, un mur ou une haie, qui n'a pas besoin d'être infranchissable pourvu qu'on puisse comprendre qu'il ne faut pas pénétrer dans l'espace considéré (arrêt du Tribunal fédéral 6B_1056/2013 du 20 août 2014 consid. 2.1).</w:t>
      </w:r>
    </w:p>
    <w:p>
      <w:r>
        <w:rPr>
          <w:b/>
        </w:rPr>
        <w:t>E. 4.2</w:t>
      </w:r>
    </w:p>
    <w:p>
      <w:r>
        <w:t>Dans le cadre d’un bail à loyer ou à ferme, c’est le locataire, respectivement le fermier, qui possède la qualité d’ayant droit, à l’exclusion du propriétaire des lieux (ATF 118 IV 167 consid. 1c, fr. ; 112 IV 31, consid. 3, JdT 1986 IV 78 ; 87 IV 120 consid. 1 JdT 1962 IV 19 ; et 83 IV 154 consid. 1, JdT 1958 IV 12). Est également ayant droit le sous-locataire (ATF 112 IV 31 consid. 3 JdT 1986 IV 78). Il faut considérer que le locataire qui persiste à occuper les lieux en dépit d’une résiliation valable ne contrevient pas à l’article 186 CP et reste même l’unique titulaire du droit au domicile ; ce dernier prend en effet naissance avec l’occupation et cesse avec le départ de l’occupant. Le droit au domicile ne passe donc pas automatiquement du locataire au propriétaire à l’extinction du contrat (ATF 112 IV 31, c. 3b, JdT 1986 IV 78 ; M. DUPUIS / L. MOREILLON / C. PIGUET / S. BERGER / M. MAZOU / V. RODIGARI (éds), Code pénal - Petit commentaire, 2e éd., Bâle 2017, n. 21 ad art. 186).</w:t>
      </w:r>
    </w:p>
    <w:p>
      <w:r>
        <w:rPr>
          <w:b/>
        </w:rPr>
        <w:t>E. 4.3</w:t>
      </w:r>
    </w:p>
    <w:p>
      <w:r>
        <w:t>L'auteur pénètre dans le domicile dès qu'il s'introduit dans l'espace protégé contre la volonté de l'ayant droit (A. MACALUSO / L. MOREILLON / N. QUELOZ (éds), Commentaire romand, Code pénal II, vol. II, Partie spéciale : art. 111-392 CP, Bâle 2017, n. 31 ad art. 186).</w:t>
      </w:r>
    </w:p>
    <w:p>
      <w:r>
        <w:rPr>
          <w:b/>
        </w:rPr>
        <w:t>E. 4.4</w:t>
      </w:r>
    </w:p>
    <w:p>
      <w:r>
        <w:t>La violation de domicile n'est punissable que si elle est commise intentionnellement. L'intention comprend la conscience du fait que l'on pénètre contre la volonté de l'ayant droit (ATF 90 IV 74 consid. 3). Le dol éventuel suffit (ATF 108 IV 33 consid. 5c) JdT 1983 IV 74 et A. MACALUSO / L. MOREILLON / N. QUELOZ (éds), op. cit., n. 44 ad art. 186).</w:t>
      </w:r>
    </w:p>
    <w:p>
      <w:r>
        <w:rPr>
          <w:b/>
        </w:rPr>
        <w:t>E. 4.5</w:t>
      </w:r>
    </w:p>
    <w:p>
      <w:r>
        <w:t>Il y a dol éventuel lorsque l'auteur, qui ne veut pas le résultat dommageable pour lui-même, envisage le résultat de son acte comme possible et l'accepte au cas où il se produirait, mais également lorsque le résultat dommageable s'impose à l'auteur de manière si vraisemblable que son comportement ne peut raisonnablement être interprété que comme l'acceptation de ce résultat (ATF 137 IV 1 consid. 4.2.3; 133 IV 9 consid. 4.1; 131 IV 1 consid. 2.2; arrêt du Tribunal fédéral 6B_718/2017 du 17 janvier 2018 consid. 2.1).</w:t>
      </w:r>
    </w:p>
    <w:p>
      <w:r>
        <w:rPr>
          <w:b/>
        </w:rPr>
        <w:t>E. 5</w:t>
      </w:r>
    </w:p>
    <w:p>
      <w:r>
        <w:t>L'art. 181 CP vise, du chef de contrainte, quiconque, en usant de violence envers une personne ou en la menaçant d'un dommage sérieux, ou en l'entravant de quelque autre manière dans sa liberté d'action, l'oblige à faire, à ne pas faire ou à laisser faire un acte.</w:t>
      </w:r>
    </w:p>
    <w:p>
      <w:r>
        <w:t>- 7/10 - P/10588/2023</w:t>
      </w:r>
    </w:p>
    <w:p>
      <w:r>
        <w:rPr>
          <w:b/>
        </w:rPr>
        <w:t>E. 5.1</w:t>
      </w:r>
    </w:p>
    <w:p>
      <w:r>
        <w:t>Il peut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134 IV 216 consid. 4.1).</w:t>
      </w:r>
    </w:p>
    <w:p>
      <w:r>
        <w:rPr>
          <w:b/>
        </w:rPr>
        <w:t>E. 5.2</w:t>
      </w:r>
    </w:p>
    <w:p>
      <w:r>
        <w:t>La contrainte n'est contraire au droit que si elle est illicite. Tel est notamment le cas lorsqu'un moyen conforme au droit, utilisé pour atteindre un but légitime, constitue, au vu des circonstances, un moyen de pression abusif ou contraire aux moeurs (ATF 134 IV 216 consid. 4.1).</w:t>
      </w:r>
    </w:p>
    <w:p>
      <w:r>
        <w:rPr>
          <w:b/>
        </w:rPr>
        <w:t>E. 5.3</w:t>
      </w:r>
    </w:p>
    <w:p>
      <w:r>
        <w:t>Sur le plan subjectif, il faut que l'auteur ait agi avec conscience et volonté, soit au moins qu'il ait accepté l'éventualité que le procédé illicite employé entrave le destinataire dans sa liberté de décision (ATF 120 IV 17 consid. 2c). Le dol éventuel suffit (art. 12 al. 2 CP; arrêt du Tribunal fédéral 6B_406/2020 du 20 août 2020 consid. 2.1).</w:t>
      </w:r>
    </w:p>
    <w:p>
      <w:r>
        <w:rPr>
          <w:b/>
        </w:rPr>
        <w:t>E. 5.4</w:t>
      </w:r>
    </w:p>
    <w:p>
      <w:r>
        <w:t>Le fait, pour un bailleur, de changer les serrures d'un appartement pour empêcher le locataire d'y pénétrer, mettant de la sorte, de facto, une fin prématurée au contrat de bail, est constitutif de contrainte au sens de cette disposition (arrêt du Tribunal fédéral 6B_334/2023 du 16 août 2023 consid. 3.3). Cela vaut y compris lorsque le bail a été résilié, mais qu'une procédure en contestation du congé est pendante (arrêts du Tribunal fédéral 4A_499/2013 du 4 février 2014 consid. 3.3.3 et 6B_8/2010 du 29 mars 2010 consid. 2.2.2).</w:t>
      </w:r>
    </w:p>
    <w:p>
      <w:r>
        <w:rPr>
          <w:b/>
        </w:rPr>
        <w:t>E. 6</w:t>
      </w:r>
    </w:p>
    <w:p>
      <w:r>
        <w:t>En l'espèce, dans ses observations, le Ministère public soutient que le recourant n'a aucunement décrit des faits pouvant être constitutifs de violation de domicile et/ou de contrainte. Or, tel ne semble pas être le cas. En effet, dans sa plainte, le recourant a exposé que son bailleur avait changé, à son insu, la serrure du local qu'il sous-louait, l'empêchant ainsi d'y accéder et d'exercer son activité professionnelle, ce qui pourrait être qualifié de contrainte, laquelle est poursuivie d'office. Par ailleurs, il a expliqué que, lorsqu'il a repris possession dudit local, il y avait "des traces sur le sol" et qu'une étagère avait "bougé", ce qui pourrait démontrer que quelqu'un aurait pénétré sans son accord dans son local.</w:t>
      </w:r>
    </w:p>
    <w:p>
      <w:r>
        <w:t>- 8/10 - P/10588/2023 Dans ces circonstances, on ne saurait reprocher au recourant – qui agissait en personne – de ne pas avoir qualifié juridiquement ces faits, cette tâche revenant à l'autorité de poursuite. Sur le fond, les parties s'accordent sur le fait que le recourant sous-louait une partie d'un local et qu'un désaccord était survenu s'agissant du loyer dû et de la continuation du bail. Dans ce contexte, la serrure du local a été d'abord endommagée – ce qui l'a rendue inutilisable –, puis, changée, sans qu'un jeu de clé n'ait été remis au recourant. C'est finalement grâce à la décision du Tribunal civil que l'intéressé a pu – sept jours plus tard – avoir, à nouveau, accès à son local. À titre liminaire, il semble douteux que ledit local – dont l'accès restait possible par l'arrière-boutique de l'arcade principale – puisse être considéré comme protégé par l'art. 186 CP, faute d'espace véritablement clos. Le rideau qui les séparait ne pouvait être assimilé à une clôture ou un mur, au sens de la jurisprudence susmentionnée. Cela étant, la question peut rester ouverte au vu de ce qui suit. Le recourant reproche à B______ et C______ d'avoir pénétré dans son local – alors que lui-même n'y avait plus accès –. Or, les mis en cause le contestent et aucun élément au dossier ne permet de corroborer un tel comportement. La photographie des traces de chaussures sur le sol, sans autre distinction, ne permet pas de confirmer que les intéressés en seraient à l'origine. En ce qui concerne la serrure, les éléments au dossier, en particulier l'écriteau apposé sur la porte, montrent que les intéressés n'avaient visiblement pas, même sous l'angle du dol éventuel, l'intention d'entrer dans le local, mais plutôt d'empêcher le recourant d'y accéder et de continuer son commerce, comme détaillé infra. Partant, l'infraction de violation de domicile n'apparaît manifestement pas réalisée. En revanche, le recourant doit être suivi lorsqu'il considère que le changement de serrure effectué à son insu – sans remise de la nouvelle clé – pourrait être constitutif de contrainte, dès lors qu'il a été empêché d'accéder au local qu'il sous-louait. Il a ainsi été entravé dans sa liberté d'action jusqu'au prononcé de l'ordonnance du Tribunal civil. Cette restriction, consistant en l'absence totale d'accès, ne peut être considérée comme légère. En outre, au vu des éléments du dossier, en particulier des déclarations de B______ – selon lesquelles sa femme aurait "repris les choses en mains" et remplacé la serrure –, et l'écriteau apposé sur la porte, la conditions subjective n'apparaît pas d'emblée devoir être écartée. Partant, on ne peut retenir, en l'état, comme le fait le Ministère public, que les éléments constitutifs d'une contrainte, au sens de l'art. 181 CP, ne seraient pas réalisés.</w:t>
      </w:r>
    </w:p>
    <w:p>
      <w:r>
        <w:t>- 9/10 - P/10588/2023 Dans ces circonstances, il appartiendra au Ministère public d'instruire si le mis en cause, B______, est à l'origine du changement de serrure ou s'il s'agit de son épouse, comme il le prétend. Puis, le cas échéant, d'éclaircir les faits quant à une éventuelle contrainte au préjudice du recourant.</w:t>
      </w:r>
    </w:p>
    <w:p>
      <w:r>
        <w:rPr>
          <w:b/>
        </w:rPr>
        <w:t>E. 7</w:t>
      </w:r>
    </w:p>
    <w:p>
      <w:r>
        <w:t>Partiellement fondé, le recours doit être admis. L'ordonnance querellée sera donc annulée et la cause renvoyée au Ministère public dans le sens des considérants.</w:t>
      </w:r>
    </w:p>
    <w:p>
      <w:r>
        <w:rPr>
          <w:b/>
        </w:rPr>
        <w:t>E. 8</w:t>
      </w:r>
    </w:p>
    <w:p>
      <w:r>
        <w:t>L'admission du recours ne donne pas lieu à la perception de frais (art. 428 al. 1 CPP). Les sûretés versées par le recourant (CHF 1'000.-) lui seront ainsi restituées.</w:t>
      </w:r>
    </w:p>
    <w:p>
      <w:r>
        <w:rPr>
          <w:b/>
        </w:rPr>
        <w:t>E. 9</w:t>
      </w:r>
    </w:p>
    <w:p>
      <w:r>
        <w:t>Le recourant, partie plaignante qui obtient gain de cause, n'a pas conclu à l'octroi de dépens ni ne les a – a fortiori – chiffrés, de sorte qu'il ne lui en sera pas alloué (art. 433 al. 2 CPP). * * * * *</w:t>
      </w:r>
    </w:p>
    <w:p>
      <w:r>
        <w:t>- 10/10 - P/10588/2023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