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ACPR/471/2019 vom 24. Mai 2019</w:t>
      </w:r>
    </w:p>
    <w:p>
      <w:r>
        <w:t>GE Cour de justice, 2019-05-24, FR</w:t>
      </w:r>
    </w:p>
    <w:p>
      <w:r>
        <w:rPr>
          <w:b/>
        </w:rPr>
        <w:t xml:space="preserve">Quelle: </w:t>
      </w:r>
      <w:r>
        <w:t>https://mcp.opencaselaw.ch/entscheid/ge_gerichte_ACPR_471_2019</w:t>
      </w:r>
    </w:p>
    <w:p>
      <w:r>
        <w:t>FR: GE_GERICHTE ACPR/471/2019 du 24 mai 2019</w:t>
      </w:r>
    </w:p>
    <w:p>
      <w:r>
        <w:t>IT: GE_GERICHTE ACPR/471/2019 del 24 maggio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prévenu ne conteste ni les charges – suffisantes – ni les risques de fuite, collusion et réitération retenus par le premier juge, de sorte qu'il n'y a pas lieu de s'y attarder.</w:t>
      </w:r>
    </w:p>
    <w:p>
      <w:r>
        <w:rPr>
          <w:b/>
        </w:rPr>
        <w:t>E. 3</w:t>
      </w:r>
    </w:p>
    <w:p>
      <w:r>
        <w:t>Il invoque exclusivement une violation du principe de la proportionnalité.</w:t>
      </w:r>
    </w:p>
    <w:p>
      <w:r>
        <w:rPr>
          <w:b/>
        </w:rPr>
        <w:t>E. 3.1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3.2</w:t>
      </w:r>
    </w:p>
    <w:p>
      <w:r>
        <w:t>En l'espèce, le recourant estime que la durée de sa mise en détention ne devrait pas excéder 31 jours à compter du prononcé de l'ordonnance querellée, quitte à ce que le Ministère public sollicite dans l'intervalle une nouvelle prolongation. Ce raisonnement ne convainc pas.</w:t>
      </w:r>
    </w:p>
    <w:p>
      <w:r>
        <w:t>- 5/7 - P/11108/2019 Le recourant a été interpellé le 23 mai 2019, pour des faits d'une gravité certaine. Les actes d'enquête à entreprendre et rappelés par le TMC dans son ordonnance ne peuvent à l'évidence être accomplis en l'espace d'un mois. L'instruction ne fait que commencer et devra déterminer l'ampleur de l'activité criminelle exercée qui, au vu des objets découverts dans le véhicule du prévenu et de son comparse, ne semble pas se limiter aux seuls cas répertoriés à ce jour. La durée de la mise en détention provisoire ordonnée par le premier juge n'apparaît ainsi pas critiquable.</w:t>
      </w:r>
    </w:p>
    <w:p>
      <w:r>
        <w:rPr>
          <w:b/>
        </w:rPr>
        <w:t>E. 4</w:t>
      </w:r>
    </w:p>
    <w:p>
      <w:r>
        <w:t>Le recours, infondé, sera par conséquent rejeté.</w:t>
      </w:r>
    </w:p>
    <w:p>
      <w:r>
        <w:rPr>
          <w:b/>
        </w:rPr>
        <w:t>E. 5</w:t>
      </w:r>
    </w:p>
    <w:p>
      <w:r>
        <w:t>Le recourant, qui succombe, supportera les frais envers l'État, qui comprendront un émolument de CHF 900.- (art. 428 al. 1 CPP et 13 al. 1 du Règlement fixant le tarif des frais en matière pénale, RTFMP; E 4 10.03). * * * * *</w:t>
      </w:r>
    </w:p>
    <w:p>
      <w:r>
        <w:t>- 6/7 - P/11108/2019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