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ACPR/46/2021 vom 28. Oktober 2020</w:t>
      </w:r>
    </w:p>
    <w:p>
      <w:r>
        <w:t>GE Cour de justice, 2020-10-28, FR</w:t>
      </w:r>
    </w:p>
    <w:p>
      <w:r>
        <w:rPr>
          <w:b/>
        </w:rPr>
        <w:t xml:space="preserve">Quelle: </w:t>
      </w:r>
      <w:r>
        <w:t>https://mcp.opencaselaw.ch/entscheid/ge_gerichte_ACPR_46_2021</w:t>
      </w:r>
    </w:p>
    <w:p>
      <w:r>
        <w:t>FR: GE_GERICHTE ACPR/46/2021 du 28 octobre 2020</w:t>
      </w:r>
    </w:p>
    <w:p>
      <w:r>
        <w:t>IT: GE_GERICHTE ACPR/46/2021 del 28 ottobre 2020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Le Ministère public rend immédiatement une ordonnance de non-entrée en matière s’il ressort de la dénonciation ou du rapport de police que les éléments constitutifs d’une infraction ou les conditions à l’ouverture de l’action pénale ne sont manifestement pas réunis (art. 310 al. 1 let. a CPP).</w:t>
      </w:r>
    </w:p>
    <w:p>
      <w:r>
        <w:t>- 4/7 - P/20023/2020 Cette disposition s’interprète à la lumière de la maxime « in dubio pro duriore », selon laquelle une non-entrée en matière ne peut généralement être prononcée que lorsqu’il apparaît clairement que les faits ne sont pas punissables. Le ministère public et l’autorité de recours disposent, dans ce cadre, d’un certain pouvoir d’appréciation (ATF 143 IV 241 consid. 2.2.1 ; arrêt du Tribunal fédéral 6B_1047/2019 du 15 janvier 2020 consid. 3.1). Des motifs de fait peuvent justifier la non-entrée en matière. Il s’agit des cas où la preuve d’une infraction, soit la réalisation de ses éléments constitutifs, n’est pas apportée par les pièces dont dispose le ministère public. Il faut que l’insuffisance des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2ème ed., Bâle 2019, n. 9 ad art. 310).</w:t>
      </w:r>
    </w:p>
    <w:p>
      <w:r>
        <w:rPr>
          <w:b/>
        </w:rPr>
        <w:t>E. 3.2</w:t>
      </w:r>
    </w:p>
    <w:p>
      <w:r>
        <w:t>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mains réelles d’autrui pour fabriquer un titre supposé, ou constaté ou fait constater faussement, dans un titre, un fait ayant une portée juridique, ou aura, pour tromper autrui, fait usage d’un tel titre (art. 251 ch. 1 CP).</w:t>
      </w:r>
    </w:p>
    <w:p>
      <w:r>
        <w:rPr>
          <w:b/>
        </w:rPr>
        <w:t>E. 3.3</w:t>
      </w:r>
    </w:p>
    <w:p>
      <w:r>
        <w:t>La notion de titre selon l’art. 251 CP correspond à celle de l’art. 110 ch. 4 CP. Selon cette disposition, seuls les documents destinés et propres à prouver un fait ayant une portée juridique constituent un titre. Il peut s’agir d’un écrit, d’un signe ou encore d’une donnée enregistrée sur un support de données. La particularité d’un titre est sa valeur probante accrue en comparaison avec d’autres moyens de preuve, tels que des témoignages ou des indices (ATF 125 IV 17 consid. 2a/aa, JdT 2002 IV 75; CR CP I, n. 3 ad art. 110). La volonté d'un individu ne suffit pas pour créer un titre; il est indispensable que la valeur probante de ce dernier réponde également à des critères objectifs (ATF 133 IV 36 consid. 4.1; 129 IV 53 consid. 2.2). Le caractère accru de la valeur probante peut découler d’usages commerciaux, tels qu’un devoir de vérification incombant à l’auteur ou l’existence de dispositions légales (ATF 131 IV 125 consid. 4.1, JdT 2007 IV 22). Un simple mensonge écrit ne constitue donc pas un faux intellectuel (arrêt du Tribunal fédéral 6B_184/2013 du 1er octobre 2013 consid. 6.2). La déclaration écrite d'un témoin potentiel n'a pas non plus davantage de valeur probante qu'un simple allégué de la partie qui la produit et peut être qualifiée comme un titre à la valeur</w:t>
      </w:r>
    </w:p>
    <w:p>
      <w:r>
        <w:t>- 5/7 - P/20023/2020 probante restreinte, soit un indice (ATF 141 III 433 consid. 2.5.3; F. BOHNET / J. HALDY / N. JEANDIN / P. SCHWEIZER / D. TAPPY (éds), Commentaire romand : Code de procédure civile, 2ème éd., 2019, n. 4 ad art. 177).</w:t>
      </w:r>
    </w:p>
    <w:p>
      <w:r>
        <w:rPr>
          <w:b/>
        </w:rPr>
        <w:t>E. 3.4</w:t>
      </w:r>
    </w:p>
    <w:p>
      <w:r>
        <w:t>En l’espèce, les documents, dont la recourante estime qu’ils seraient constitutifs de faux dans les titres, ne figurent pas au dossier à disposition de la Chambre de céans. Il semble qu’ils n’aient pas non plus été remis au Ministère public, alors que selon les propres déclarations de la recourante, elle en détenait, à tout le moins, une copie. Néanmoins, en tout état de cause, il ressort des éléments de la procédure, y compris des déclarations de la recourante, que les pièces en question concernent des publications qu'elle a elle-même effectuées sur les réseaux sociaux. Or, il apparaît que ce type de documents, même sous la forme de copie produite par-devant une juridiction civile, ne revêt pas la valeur probante accrue nécessaire à la qualité de titre. La recourante ne l’explicite aucunement, du reste. Le fait que, selon cette dernière, il s’agirait de publications liées à son ancien compte E______, désormais fermé, ne modifie aucunement ce constat. Au surplus, bien que la recourante considère que ces pièces seraient illisibles et incompréhensibles – ce qui aurait permis au mis en cause d’« indui[re] la justice en erreur » –, elles ont néanmoins pu être comprises et analysées par le Tribunal de première instance qui a été en mesure de rendre une décision. D'ailleurs, la recourante ne prétend pas que l’autorité en aurait fait une mauvaise lecture. Partant, en l’absence de la condition de qualité de titre des documents dénoncés, l’infraction de faux dans les titres n’est pas réalisée. L’on ne voit pas quel acte d’enquête d’instruction serait susceptible d’apporter d’élément complémentaire à cet égard, la recourante n’en proposant aucun, au demeurant. Enfin, aucun élément ne permet non plus de conclure qu’une autre infraction, y compris celle d’induire la justice en erreur (art. 134 CP), serait réalisée par la production desdites pièces en justice. Le simple fait que Me B______, en sa qualité d’avocat, allègue dans une procédure civile des faits que la recourante conteste n’était pas constitutif d’une infraction pénale. Partant, l’ordonnance querellée ne prête pas le flanc à la critique.</w:t>
      </w:r>
    </w:p>
    <w:p>
      <w:r>
        <w:rPr>
          <w:b/>
        </w:rPr>
        <w:t>E. 4</w:t>
      </w:r>
    </w:p>
    <w:p>
      <w:r>
        <w:t>Justifiée, l'ordonnance querellée sera donc confirmée et le recours rejeté.</w:t>
      </w:r>
    </w:p>
    <w:p>
      <w:r>
        <w:rPr>
          <w:b/>
        </w:rPr>
        <w:t>E. 5</w:t>
      </w:r>
    </w:p>
    <w:p>
      <w:r>
        <w:t>La recourante, qui succombe, supportera les frais envers l'État, qui seront fixés en totalité à CHF 600.- (art. 428 al. 1 CPP et 13 al. 1 du Règlement fixant le tarif des frais en matière pénale, RTFMP ; E 4 10.03). * * * * *</w:t>
      </w:r>
    </w:p>
    <w:p>
      <w:r>
        <w:t>- 6/7 - P/20023/2020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