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ACPR/46/2020 vom 16. Oktober 2019</w:t>
      </w:r>
    </w:p>
    <w:p>
      <w:r>
        <w:t>GE Cour de justice, 2019-10-16, FR</w:t>
      </w:r>
    </w:p>
    <w:p>
      <w:r>
        <w:rPr>
          <w:b/>
        </w:rPr>
        <w:t xml:space="preserve">Quelle: </w:t>
      </w:r>
      <w:r>
        <w:t>https://mcp.opencaselaw.ch/entscheid/ge_gerichte_ACPR_46_2020</w:t>
      </w:r>
    </w:p>
    <w:p>
      <w:r>
        <w:t>FR: GE_GERICHTE ACPR/46/2020 du 16 octobre 2019</w:t>
      </w:r>
    </w:p>
    <w:p>
      <w:r>
        <w:t>IT: GE_GERICHTE ACPR/46/2020 del 16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w:t>
      </w:r>
    </w:p>
    <w:p>
      <w:r>
        <w:rPr>
          <w:b/>
        </w:rPr>
        <w:t>E. 3.2</w:t>
      </w:r>
    </w:p>
    <w:p>
      <w:r>
        <w:t>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 1B_721/2011 du 7 mars 2012, consid. 3.2).</w:t>
      </w:r>
    </w:p>
    <w:p>
      <w:r>
        <w:rPr>
          <w:b/>
        </w:rPr>
        <w:t>E. 3.3</w:t>
      </w:r>
    </w:p>
    <w:p>
      <w:r>
        <w:t>En l'espèce, la recourante se limite à donner son appréciation, contraire à celle du Ministère public, du bien-fondé de la suspension. Elle ne répond pas aux arguments du Procureur portant sur une double instruction (qu'elle avait elle-même allégué devant les juges civils) et l'appréciation de juges de la branche professionnelle concernée sur les</w:t>
      </w:r>
    </w:p>
    <w:p>
      <w:r>
        <w:t>- 5/7 - P/4363/2018 pratiques au sein de l'établissement. Il n'est pas contesté que les faits reprochés sont les mêmes dans les deux procédures. Si la juridiction prud'homale n'a pas à se prononcer directement sur les accusations relevant d'infractions pénales, elle est appelée à juger du bien-fondé des créances des prévenus en paiement du salaire et de celle de la recourante en relation avec les malversations reprochées. Le juge civil devra ainsi procéder à l'établissement de faits, en particulier l'existence des malversations dont l'utilité au pénal est manifeste. La suspension repose ainsi sur des motifs objectifs, répondant aux conditions de l'art. 314 al. 1 let. b CPP. Le principe de célérité n'est pas violé. En effet, rien ne permet de redouter que la procédure civile ne puisse se poursuivre et s'achever dans des délais raisonnables, les demandes et réplique-demande reconventionnelle ayant déjà été déposées, de sorte qu'elle se trouve au stade des enquêtes. L'ordonnance de suspension querellée sera ainsi confirmée.</w:t>
      </w:r>
    </w:p>
    <w:p>
      <w:r>
        <w:rPr>
          <w:b/>
        </w:rPr>
        <w:t>E. 4</w:t>
      </w:r>
    </w:p>
    <w:p>
      <w:r>
        <w:t>La recourante, qui succombe, supportera les frais envers l'État, qui seront fixés en totalité à CHF 900.- (art. 428 al. 1 CPP et 13 al. 1 du Règlement fixant le tarif des frais en matière pénale, RTFMP ; E 4 10.03). * * * * *</w:t>
      </w:r>
    </w:p>
    <w:p>
      <w:r>
        <w:t>- 6/7 - P/4363/2018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