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ACPR/468/2024 vom 18. Oktober 2023</w:t>
      </w:r>
    </w:p>
    <w:p>
      <w:r>
        <w:t>GE Cour de justice, 2023-10-18, FR</w:t>
      </w:r>
    </w:p>
    <w:p>
      <w:r>
        <w:rPr>
          <w:b/>
        </w:rPr>
        <w:t xml:space="preserve">Quelle: </w:t>
      </w:r>
      <w:r>
        <w:t>https://mcp.opencaselaw.ch/entscheid/ge_gerichte_ACPR_468_2024</w:t>
      </w:r>
    </w:p>
    <w:p>
      <w:r>
        <w:t>FR: GE_GERICHTE ACPR/468/2024 du 18 octobre 2023</w:t>
      </w:r>
    </w:p>
    <w:p>
      <w:r>
        <w:t>IT: GE_GERICHTE ACPR/468/2024 del 18 ottobre 2023</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de ne pas être entré en matière sur sa plainte.</w:t>
      </w:r>
    </w:p>
    <w:p>
      <w:r>
        <w:rPr>
          <w:b/>
        </w:rPr>
        <w:t>E. 2.1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w:t>
      </w:r>
    </w:p>
    <w:p>
      <w:r>
        <w:t>- 6/10 - P/20862/2023 Commentaire romand : Code de procédure pénale suisse, 2ème éd., Bâle 2019, n. 8 ad art. 310). Des motifs de fait peuvent également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op.cit., n. 9 ad art. 310).</w:t>
      </w:r>
    </w:p>
    <w:p>
      <w:r>
        <w:rPr>
          <w:b/>
        </w:rPr>
        <w:t>E. 2.2</w:t>
      </w:r>
    </w:p>
    <w:p>
      <w:r>
        <w:t>Selon l'art. 146 al. 1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(ATF 140 IV 206 consid. 6.3.1.2).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L'astuce n'est toutefois pas réalisée si la dupe pouvait se protéger avec un minimum d'attention ou éviter l'erreur avec le minimum de prudence que l'on pouvait attendre d'elle (ATF 135 IV 76 consid. 5.2). Sur le plan subjectif, l'escroquerie est une infraction intentionnelle. L'intention doit porter sur tous les éléments constitutifs de l'infraction. Il faut en particulier que l'auteur ait eu l'intention de commettre une tromperie astucieuse (cf. ATF 128 IV 18</w:t>
      </w:r>
    </w:p>
    <w:p>
      <w:r>
        <w:t>- 7/10 - P/20862/2023 consid. 3b p. 21). L'auteur doit en outre avoir agi dans le dessein de se procurer ou de procurer à un tiers un enrichissement illégitime correspondant au dommage de la dupe (ATF 134 IV 210 consid. 5.3 p. 213 s. ; arrêts du Tribunal fédéral 6B_1141/2017 du 7 juin 2018 consid. 1.2.2 ; 6B_446/2018 du 17 juillet 2018 consid. 2.1).</w:t>
      </w:r>
    </w:p>
    <w:p>
      <w:r>
        <w:rPr>
          <w:b/>
        </w:rPr>
        <w:t>E. 2.3</w:t>
      </w:r>
    </w:p>
    <w:p>
      <w:r>
        <w:t>En l'espèce, la recourante reproche à la mise en cause de lui avoir loué un local commercial qui comprenait des places de parking, dont la propriété appartenait à la E______; par conséquent, elle s'était acquittée d'un double loyer pour cette surface. À titre liminaire, il sera relevé que les questions relatives au contrat de location conclu entre les parties et aux prétendues violations des obligations contractuelles de la mise en cause relèvent avant tout de la justice civile. Il ressort en outre – et surtout – de l'ensemble des pièces figurant au dossier que les éléments constitutifs de l'infraction d'escroquerie ne sont pas réunis. En effet, en avril 2010, F______ – ou l'une de ses sociétés – a racheté le fonds de commerce d'un garage, dont faisait partie un atelier mécanique, lequel comprenait des "lifts", un tableau électrique et un établi. À cette occasion, il s'était engagé à reprendre les baux existants, l'un auprès de la I______ – à laquelle la E______ s'est substituée – relatif à l'usage de six places de parking sises route 1______ 10 à C______, et l'autre auprès de la mise en cause, portant sur "la station-service, le local-bureau au rez-de-chaussée et les locaux au sous-sol sis dans l'immeuble" sis au numéro 8 de la route précitée, locaux destinés à l'exploitation d'une station-service et d'un atelier de réparation de voitures. Il s'est finalement avéré que l'atelier mécanique, soit l'ouvrage acquis dans le cadre du rachat du fonds de commerce de l'ancien garage, était érigé en partie sur les locaux commerciaux loués à la mise en cause et en partie, sur les places de parking propriétés de la E______. Contrairement à ce que soutient la recourante, il n'apparait pas que la mise en cause aurait trompé la recourante sur ce point, dès lors que le contrat conclu entre elles – d'abord par deux sociétés, dont l'une était représentée par F______ puis repris le 23 septembre suivant par celui-ci au nom de la recourante – dont l'objet était clairement défini, ne portait pas sur des places de parking mais uniquement sur les locaux commerciaux. Que lesdits locaux soient destinés à l'exploitation d'un atelier de réparation de voitures n'y change rien, l'ouvrage lui-même, en sus de ne pas être l'objet du bail, ayant été acquis parallèlement aux précédents garagistes. Quoi qu'il en soit, dans le cadre de la procédure civile, la mise en cause a déclaré avoir appris, fin 2019 seulement, que ledit ouvrage se trouvait en partie sur lesdites places de parking; elle n'avait jamais eu de discussion avec la E______ à ce sujet. Au demeurant, l'on pouvait raisonnablement attendre de la recourante qu'elle s'informe, avant l'acquisition du fonds de commerce, de l'emplacement exact des lieux concernés</w:t>
      </w:r>
    </w:p>
    <w:p>
      <w:r>
        <w:t>- 8/10 - P/20862/2023 qu'elle s'était engagée à reprendre, dès lors que la résiliation de l'un ou l'autre, qu'elle savait détenus par deux bailleresses différentes, pouvait avoir une influence sur son activité professionnelle. Or, la recourante admet qu'elle ne s'est aperçue de la situation qu'à réception du jugement rendu par le Tribunal des baux et loyers. Elle n'a par conséquent pris aucune précaution avant de racheter le fonds de commerce, respectivement de conclure les baux qui s'y rapportaient. Pour le surplus, on ne décèle aucune astuce de la part de la mise en cause, qui n'a pas eu recours à un édifice de mensonges, à des manœuvres frauduleuses ou à une mise en scène pour amener la recourante à conclure le contrat de bail litigieux. En particulier, hormis les convictions de la recourante, aucun élément ne permet d'inférer que la mise en cause aurait, de concert avec la E______ par le biais de la régie qui les représentaient toutes les deux à l'époque de la signature des baux en 2010 et 2012, voulu porter atteinte à ses intérêts. Aucun élément ne permet non plus de retenir que la mise en cause aurait eu une quelconque influence sur la résiliation du contrat liant la recourante à la E______ ni que les résiliations des baux, dont bénéficiait la recourante, auraient été décidées d'entente entre les bailleresses. En toute hypothèse, aucun lien de confiance préexistant entre les parties n'aurait justifié que la recourante renonce aux vérifications nécessaires. Enfin, rien ne permet de retenir un dessein d'enrichissement illégitime de la mise en cause, qui s'est limitée à facturer le loyer qu'elle considérait dû pour l'objet loué. L'élément subjectif de l'infraction d'escroquerie ferait donc dans tous les cas défaut. Dans ces circonstances, c'est à bon droit que le Ministère public a considéré que les conditions de l'art. 146 CP n'étaient pas réalisées.</w:t>
      </w:r>
    </w:p>
    <w:p>
      <w:r>
        <w:rPr>
          <w:b/>
        </w:rPr>
        <w:t>E. 3</w:t>
      </w:r>
    </w:p>
    <w:p>
      <w:r>
        <w:t>Justifiée, l'ordonnance querellée sera donc confirmée.</w:t>
      </w:r>
    </w:p>
    <w:p>
      <w:r>
        <w:rPr>
          <w:b/>
        </w:rPr>
        <w:t>E. 4</w:t>
      </w:r>
    </w:p>
    <w:p>
      <w:r>
        <w:t>La recourante, qui succombe, supportera les frais envers l'État, qui seront fixés en totalité à CHF 1'000.- (art. 428 al. 1 CPP et 13 al. 1 du Règlement fixant le tarif des frais en matière pénale, RTFMP ; E 4 10.03).</w:t>
      </w:r>
    </w:p>
    <w:p>
      <w:r>
        <w:t>- 9/10 - P/20862/2023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