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ACPR/468/2020 vom 16. Juni 2020</w:t>
      </w:r>
    </w:p>
    <w:p>
      <w:r>
        <w:t>GE Cour de justice, 2020-06-16, FR</w:t>
      </w:r>
    </w:p>
    <w:p>
      <w:r>
        <w:rPr>
          <w:b/>
        </w:rPr>
        <w:t xml:space="preserve">Quelle: </w:t>
      </w:r>
      <w:r>
        <w:t>https://mcp.opencaselaw.ch/entscheid/ge_gerichte_ACPR_468_2020</w:t>
      </w:r>
    </w:p>
    <w:p>
      <w:r>
        <w:t>FR: GE_GERICHTE ACPR/468/2020 du 16 juin 2020</w:t>
      </w:r>
    </w:p>
    <w:p>
      <w:r>
        <w:t>IT: GE_GERICHTE ACPR/468/2020 del 16 giugno 2020</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20 al. 1 let. c et 393 al. 1 let. c) et émaner du prévenu, partie au procès (art. 104 al. 1 let. a CPP), qui a qualité pour recourir.</w:t>
      </w:r>
    </w:p>
    <w:p>
      <w:r>
        <w:rPr>
          <w:b/>
        </w:rPr>
        <w:t>E. 2</w:t>
      </w:r>
    </w:p>
    <w:p>
      <w:r>
        <w:t>Le recourant ne conteste pas les charges, qui sont quoi qu'il en soit suffisantes et graves, au sens de l'art. de l'art. 221 al. 1 première phrase CPP, au vu des éléments au dossier.</w:t>
      </w:r>
    </w:p>
    <w:p>
      <w:r>
        <w:rPr>
          <w:b/>
        </w:rPr>
        <w:t>E. 3</w:t>
      </w:r>
    </w:p>
    <w:p>
      <w:r>
        <w:t>L'ordonnance querellée a retenu à juste titre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l'instruction ne fait que commencer. Si le recourant reconnait certains faits, il conteste les fellations et cunnilingus; il soutient également que sa belle-fille était consentante voire prenait parfois l'initiative des attouchements. Son intérêt à entrer en contact avec cette plaignante et à lui faire modifier sa version n'est ainsi pas à exclure. En outre, l'instruction devra déterminer si sa seconde belle-fille a subi des actes similaires, et ce sans que le prévenu ne puisse l'influencer. Malgré que le prévenu se soit engagé à ne pas entrer en contact avec sa femme et ses belles-filles,</w:t>
      </w:r>
    </w:p>
    <w:p>
      <w:r>
        <w:t>- 5/8 - P/10357/2020 le risque est grand, en ce tout début d'instruction, qu'il tente néanmoins de les rencontrer, ou de les contacter via les réseaux sociaux.</w:t>
      </w:r>
    </w:p>
    <w:p>
      <w:r>
        <w:rPr>
          <w:b/>
        </w:rPr>
        <w:t>E. 4</w:t>
      </w:r>
    </w:p>
    <w:p>
      <w:r>
        <w:t>C'est également à juste titre que l'ordonnance querellée a retenu un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4.2</w:t>
      </w:r>
    </w:p>
    <w:p>
      <w:r>
        <w:t>Le recourant, de nationalité portugaise, habite depuis 2008 à Genève. Il a deux enfants d'une précédente union qui vivent au Portugal. Il n'a pas de revenu et sa femme assume ses frais. Cependant, il est fort probable que cette dernière, s'étant constituée partie plaignante dans la procédure, n'entende plus lui assurer ce soutien financier. Le risque de fuite est ainsi élevé au vu de sa situation judiciaire, financière et familiale.</w:t>
      </w:r>
    </w:p>
    <w:p>
      <w:r>
        <w:rPr>
          <w:b/>
        </w:rPr>
        <w:t>E. 5</w:t>
      </w:r>
    </w:p>
    <w:p>
      <w:r>
        <w:t>Le recourant considère qu'en écartant les mesures de substitution proposées, la décision du TMC violait le principe de proportionnalité et était dès lors inopportune.</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t>- 6/8 - P/10357/2020</w:t>
      </w:r>
    </w:p>
    <w:p>
      <w:r>
        <w:rPr>
          <w:b/>
        </w:rPr>
        <w:t>E. 5.2</w:t>
      </w:r>
    </w:p>
    <w:p>
      <w:r>
        <w:t>En l'espèce, l'engagement pris par le prévenu, et l'interdiction qui lui serait faite, de contacter les plaignantes sont largement insuffisants à pallier le risque concret et important de collusion. Dans la mesure où l'interdiction de contact ne repose que sur la volonté du prévenu, il suffirait d'une seule violation pour compromettre l'instruction et son constat n'interviendrait que tardivement. À cet égard, il demeure important, à ce stade, que l'instruction – en particulier les premières confrontations – soit menée par le Ministère public sans influence du prévenu. L'interdiction de quitter le territoire et l'obligation de se présenter à une autorité administrative, ne paraissent, en l'état, pas suffisantes à pallier le risque de fuite. L'interdiction de quitter le territoire ne reposant, ici encore, que sur la volonté du prévenu, ce dernier ne serait nullement empêché de passer la frontière et de se rendre notamment au Portugal. L'obligation de s'annoncer à un poste de police ne permettrait, le cas échéant, que de constater sa fuite, mais pas de l'empêcher.</w:t>
      </w:r>
    </w:p>
    <w:p>
      <w:r>
        <w:rPr>
          <w:b/>
        </w:rPr>
        <w:t>E. 6</w:t>
      </w:r>
    </w:p>
    <w:p>
      <w:r>
        <w:t>Au vu des infractions reprochées au prévenu, la mise en détention provisoire ne viole pas le principe de la proportionnalité.</w:t>
      </w:r>
    </w:p>
    <w:p>
      <w:r>
        <w:rPr>
          <w:b/>
        </w:rPr>
        <w:t>E. 7</w:t>
      </w:r>
    </w:p>
    <w:p>
      <w:r>
        <w:t>L'inopportunité de la décision, telle qu'invoquée par le recourant, n'a pas de portée propre distincte du principe de proportionnalité.</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 * * * * *</w:t>
      </w:r>
    </w:p>
    <w:p>
      <w:r>
        <w:t>- 7/8 - P/10357/2020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