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ACPR/463/2019 vom 19. Dezember 2018</w:t>
      </w:r>
    </w:p>
    <w:p>
      <w:r>
        <w:t>GE Cour de justice, 2018-12-19, FR</w:t>
      </w:r>
    </w:p>
    <w:p>
      <w:r>
        <w:rPr>
          <w:b/>
        </w:rPr>
        <w:t xml:space="preserve">Quelle: </w:t>
      </w:r>
      <w:r>
        <w:t>https://mcp.opencaselaw.ch/entscheid/ge_gerichte_ACPR_463_2019</w:t>
      </w:r>
    </w:p>
    <w:p>
      <w:r>
        <w:t>FR: GE_GERICHTE ACPR/463/2019 du 19 décembre 2018</w:t>
      </w:r>
    </w:p>
    <w:p>
      <w:r>
        <w:t>IT: GE_GERICHTE ACPR/463/2019 del 19 dicembre 2018</w:t>
      </w:r>
    </w:p>
    <w:p>
      <w:pPr>
        <w:pStyle w:val="Heading2"/>
      </w:pPr>
      <w:r>
        <w:t>Erwägungen</w:t>
      </w:r>
    </w:p>
    <w:p>
      <w:r>
        <w:rPr>
          <w:b/>
        </w:rPr>
        <w:t>E. 1</w:t>
      </w:r>
    </w:p>
    <w:p>
      <w:r>
        <w:t>Le recours a été déposé selon la forme et dans le délai prescrits (art. 385 al. 1 et 396 al. 1 CPP) – les formalités de l'art. 85 al. 2 CPP n'ayant pas été respectées –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Les faits et moyens de preuve nouveaux sont recevables devant l'instance de recours, de sorte que les pièces nouvelles produites à l'appui du recours seront admises (arrêts du Tribunal fédéral 1B_368/2014 du 5 février 2015 consid. 3.1 et 3.2 et les références citées).</w:t>
      </w:r>
    </w:p>
    <w:p>
      <w:r>
        <w:rPr>
          <w:b/>
        </w:rPr>
        <w:t>E. 3</w:t>
      </w:r>
    </w:p>
    <w:p>
      <w:r>
        <w:t>Le recourant reproche au Ministère public de ne pas être entré en matière sur les faits dénoncés dans sa plainte pénale.</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Conformément à l'art. 310 al. 1 let. b CPP, le Ministère public rend immédiatement une ordonnance de non-entrée en matière s'il ressort de la dénonciation ou du rapport de police qu'il existe des empêchements de procéder.</w:t>
      </w:r>
    </w:p>
    <w:p>
      <w:r>
        <w:t>- 7/11 - P/10830/2018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(art. 310 al. 1 let. b CPP) ou une ordonnance de classement (ACPR/54/2013 du</w:t>
      </w:r>
    </w:p>
    <w:p>
      <w:r>
        <w:rPr>
          <w:b/>
        </w:rPr>
        <w:t>E. 3.3</w:t>
      </w:r>
    </w:p>
    <w:p>
      <w:r>
        <w:t>L'art. 137 CP punit celui qui, pour se procurer ou procurer à un tiers un enrichissement illégitime, s'approprie une chose mobilière appartenant à autrui.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p. 227 ; 121 IV 25 consid. 1c p. 25 ; 118 IV 148 consid. 2a p. 151 s.).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w:t>
      </w:r>
    </w:p>
    <w:p>
      <w:r>
        <w:rPr>
          <w:b/>
        </w:rPr>
        <w:t>E. 3.4</w:t>
      </w:r>
    </w:p>
    <w:p>
      <w:r>
        <w:t>En l'espèce, B______ ne conteste pas avoir mis en vente sur F______ divers objets et matériel entreposés à l'ancien domicile conjugal du recourant. Il affirme toutefois avoir suivi les instructions de l'épouse de ce dernier et n'avoir perçu aucune somme d'argent issue des ventes en question. Selon lui, les biens en question appartenaient à sa compagne, E______. Par courrier du 1er mai 2017, elle avait, en effet, allégué être la propriétaire légitime des biens réclamés par la société G______ SARL et requis de cette dernière une liste exhaustive des biens qu'elle souhaitait récupérer. Le recourant ne prétend pas avoir transmis une telle liste à son épouse et avoir donné une quelconque suite à son courrier. Faute d’un quelconque indice objectif susceptible de corroborer les dires des protagonistes, il n’y a dès lors pas lieu de privilégier une version plutôt que l’autre. S'agissant du courrier du recourant, les déclarations des parties sont contradictoires et aucun élément au dossier ne permet de retenir que les mis en cause l'auraient effectivement soustrait des boîtes aux lettres et détruit. B______ a notamment affirmé que lesdites boîtes aux lettres n'étaient pas au nom du recourant, ni au nom de ses sociétés. Si les images montrent effectivement les mis en cause en train de</w:t>
      </w:r>
    </w:p>
    <w:p>
      <w:r>
        <w:t>- 8/11 - P/10830/2018 prélever du courrier dans les boîtes aux lettres et jeter du contenu dans une poubelle, elles ne permettent toutefois pas d'établir s'il s'agit de courrier appartenant au recourant. Ce dernier a, au demeurant, reconnu lui-même qu'il était possible qu'il s'agisse en réalité de publicités et a affirmé ne pas souhaiter accuser sa belle-fille d'un tel acte. Au vu de ce qui précède, rien ne permet de fonder le soupçon d'un dessein d'enrichissement de la part de B______ ou de C______, ni l'existence d'une soustraction ou d'une appropriation, au sens de l'art. 137 CP. Les mesures d'enquêtes sollicitées, soit l'audition de E______ et de C______, n'apparaissent pas propres à modifier cette appréciation. Les éléments constitutifs de l'infraction précitée ne paraissant pas réunis, c'est à bon droit que le Ministère public a refusé d'entrer en matière.</w:t>
      </w:r>
    </w:p>
    <w:p>
      <w:r>
        <w:rPr>
          <w:b/>
        </w:rPr>
        <w:t>E. 3.5</w:t>
      </w:r>
    </w:p>
    <w:p>
      <w:r>
        <w:t>L'art. 180 al. 1 CP punit, sur plainte, celui qui, par une menace grave, aura alarmé ou effrayé une personne. Selon l'art. 31 CP, le droit de porter plainte se prescrit par trois mois (1ère phr.). Le délai court du jour où l'ayant droit a connu l'auteur de l'infraction (2ème phr.). L'observation du délai de plainte fixé à l'art. 31 CP est une condition d'exercice de l'action publique (ATF 118 IV 325 consid. 2b),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qui ne peut être ni suspendu, ni interrompu, ni prolongé.</w:t>
      </w:r>
    </w:p>
    <w:p>
      <w:r>
        <w:rPr>
          <w:b/>
        </w:rPr>
        <w:t>E. 3.6</w:t>
      </w:r>
    </w:p>
    <w:p>
      <w:r>
        <w:t>En l'espèce, le recourant se plaint du contenu d'un message vocal reçu le 22 avril 2017. Il est manifeste qu'il en a immédiatement identifié l'auteur, de sorte que le délai pour déposer plainte pénale courrait dès sa réception et est arrivé à échéance, au plus tard, le 22 juillet 2017. La plainte pénale du recourant, déposée le 28 mai 2018, soit plus d'un an après les faits, est donc manifestement tardive. Partant, il existe un empêchement de procéder au sens de l'art. 310 al. 1 let. b CPP qui justifie de ne pas entrer en matière sur cette infraction, sans qu'il soit nécessaire d'examiner au fond le grief soulevé par le recourant. 4. Justifiée, l'ordonnance querellée, sera donc confirmée, par substitution de motifs.</w:t>
      </w:r>
    </w:p>
    <w:p>
      <w:r>
        <w:t>- 9/11 - P/10830/2018 5. Le recourant, qui succombe, supportera les frais envers l'État, fixés en totalité à CHF 1'000.- (art. 428 al. 1 CPP et 13 al. 1 du Règlement fixant le tarif des frais en matière pénale, RTFMP ; E 4 10.03). * * * * *</w:t>
      </w:r>
    </w:p>
    <w:p>
      <w:r>
        <w:t>- 10/11 - P/10830/2018</w:t>
      </w:r>
    </w:p>
    <w:p>
      <w:r>
        <w:rPr>
          <w:b/>
        </w:rPr>
        <w:t>E. 7</w:t>
      </w:r>
    </w:p>
    <w:p>
      <w:r>
        <w:t>février 2013 ; G. PIQUEREZ / A. MACALUSO, Procédure pénale suisse, 3e édition, 2011, p. 537 n. 1553 et 1555).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