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ACPR/461/2020 vom 27. Februar 2020</w:t>
      </w:r>
    </w:p>
    <w:p>
      <w:r>
        <w:t>GE Cour de justice, 2020-02-27, FR</w:t>
      </w:r>
    </w:p>
    <w:p>
      <w:r>
        <w:rPr>
          <w:b/>
        </w:rPr>
        <w:t xml:space="preserve">Quelle: </w:t>
      </w:r>
      <w:r>
        <w:t>https://mcp.opencaselaw.ch/entscheid/ge_gerichte_ACPR_461_2020</w:t>
      </w:r>
    </w:p>
    <w:p>
      <w:r>
        <w:t>FR: GE_GERICHTE ACPR/461/2020 du 27 février 2020</w:t>
      </w:r>
    </w:p>
    <w:p>
      <w:r>
        <w:t>IT: GE_GERICHTE ACPR/461/2020 del 27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classé sa plainte pénale pour escroquerie.</w:t>
      </w:r>
    </w:p>
    <w:p>
      <w:r>
        <w:rPr>
          <w:b/>
        </w:rPr>
        <w:t>E. 3.1</w:t>
      </w:r>
    </w:p>
    <w:p>
      <w:r>
        <w:t>L'art. 319 al. 1 CPP prévoit que le Ministère public ordonne le classement de tout ou partie de la procédure lorsqu'aucun soupçon justifiant une mise en accusation n'est établi (let. a).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w:t>
      </w:r>
    </w:p>
    <w:p>
      <w:r>
        <w:t>- 5/8 - P/13496/2019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3.2.1. 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 135 IV 76 consid. 5.2 p. 80 s.; arrêt 6B_1030/2018 du 20 novembre 2018 consid. 2.1). 3.2.2. En l'espèce, il n'est pas contesté que les prestations de la recourante n'ont pas été honorées mais il y a divergence au sujet des motifs concernant le défaut de paiement. D'une part, la quantité, le coût et le destinataire exact des prestations fournies sont contestés et, d'autre part, les motifs des défauts de paiement sont discutés, l'absence de liquidités alléguée étant considérée comme mensongère et de nature à inciter la recourante à poursuivre une activité préjudiciable à ses intérêts.</w:t>
      </w:r>
    </w:p>
    <w:p>
      <w:r>
        <w:t>- 6/8 - P/13496/2019 Le litige des partenaires commerciaux en cause relève à n'en pas douter des juridictions civiles et le juge pénal n'a pas à en connaître. Il n'entre notamment pas dans sa sphère de compétence de déterminer, ce que la recourante faillit à démontrer, quels montants, à quelles dates et pour quelles personnes ou sociétés, seraient en cause. Au-delà de ces questions d'ordre purement civil, la recourante n'a pas développé le moindre argument soutenant qu'elle aurait été victime d'une construction astucieuse qui l'aurait conduite à poursuivre une activité préjudiciable à ses intérêts. Elle a agi ainsi qu'elle l'a fait en parfaite connaissance des carences de ses clients, ce que démontrent les nombreux courriels produits. Elle a donc décidé de poursuivre une relation commerciale avec des clients dont elle connaissait depuis longtemps l'insolvabilité, sans jamais les enjoindre à fournir des garanties. On ne trouve dès lors pas dans ses explications quel édifice frauduleux l'aurait déterminée à perpétuer une activité qu'elle savait délicate et potentiellement contraire à ses intérêts. En tant que professionnelle du voyage, il lui appartenait d'obtenir les garanties nécessaires au paiement de ses dépenses dès que le découvert apparaissait, ce qui était déjà le cas au moment de sa création puisqu'elle reprenait les clients rénitents d'une ancienne structure dont son associé gérant s'occupait précédemment. Dès lors, les reproches de la recourante, liés aux difficultés de paiement de sa clientèle et connues d'elle-même, font partie des risques commerciaux et ne comportent pas de connotation pénale.</w:t>
      </w:r>
    </w:p>
    <w:p>
      <w:r>
        <w:rPr>
          <w:b/>
        </w:rPr>
        <w:t>E. 3.3</w:t>
      </w:r>
    </w:p>
    <w:p>
      <w:r>
        <w:t>Justifiée, l'ordonnance querellée sera donc confirmée.</w:t>
      </w:r>
    </w:p>
    <w:p>
      <w:r>
        <w:rPr>
          <w:b/>
        </w:rPr>
        <w:t>E. 4</w:t>
      </w:r>
    </w:p>
    <w:p>
      <w:r>
        <w:t>La recourante, qui succombe, supportera les frais envers l'État, qui seront fixés en totalité à CHF 1'000.- (art. 428 al. 1 CPP et 13 al. 1 du Règlement fixant le tarif des frais en matière pénale, RTFMP ; E 4 10.03). * * * * *</w:t>
      </w:r>
    </w:p>
    <w:p>
      <w:r>
        <w:t>- 7/8 - P/13496/2019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