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ACPR/460/2025 vom 9. April 2025</w:t>
      </w:r>
    </w:p>
    <w:p>
      <w:r>
        <w:t>GE Cour de justice, 2025-04-09, FR</w:t>
      </w:r>
    </w:p>
    <w:p>
      <w:r>
        <w:rPr>
          <w:b/>
        </w:rPr>
        <w:t xml:space="preserve">Quelle: </w:t>
      </w:r>
      <w:r>
        <w:t>https://mcp.opencaselaw.ch/entscheid/ge_gerichte_ACPR_460_2025</w:t>
      </w:r>
    </w:p>
    <w:p>
      <w:r>
        <w:t>FR: GE_GERICHTE ACPR/460/2025 du 9 avril 2025</w:t>
      </w:r>
    </w:p>
    <w:p>
      <w:r>
        <w:t>IT: GE_GERICHTE ACPR/460/2025 del 9 aprile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plaignants qui, parties à la procédure (art. 104 al. 1 let. b CPP), ont qualité pour agir, ayant un intérêt juridiquement protégé – en leur qualité de seuls héritiers de C______ et de même rang (ATF 142 IV 82 consid. 3.4) – à la modification ou à l'annulation de la décision querellée (art. 382 al. 1 CPP).</w:t>
      </w:r>
    </w:p>
    <w:p>
      <w:r>
        <w:rPr>
          <w:b/>
        </w:rPr>
        <w:t>E. 2</w:t>
      </w:r>
    </w:p>
    <w:p>
      <w:r>
        <w:t>La Chambre de céans revoit uniquement les points de la décision attaqués devant elle (art. 385 al. 1 let. a CPP), les autres aspects, non remis en cause, demeurant tels que fixés par le premier juge (ACPR/896/2023 du 13 novembre 2023 consid. 3.3.1; Y. JEANNERET / A. KUHN / C. PERRIER DEPEURSINGE (éds), Commentaire romand : Code de procédure pénale suisse, 2ème éd., Bâle 2019, n. 9 ad art. 385). En l'espèce, si les recourants reprochent au Ministère public de ne pas être entré en matière sur les infractions d'abus de confiance et de gestion déloyale, ils ne consacrent en revanche aucun développement sur les infractions d'escroquerie et de gestion fautive, pourtant mentionnées dans leur plainte. Par voie de conséquence, seules les infractions remises en cause seront examinées ci-après – abus de confiance et gestion déloyale –, à l'exclusion des deux autres – escroquerie et gestion fautive – , lesquelles n'apparaissent plus litigieuses.</w:t>
      </w:r>
    </w:p>
    <w:p>
      <w:r>
        <w:rPr>
          <w:b/>
        </w:rPr>
        <w:t>E. 3.1</w:t>
      </w:r>
    </w:p>
    <w:p>
      <w:r>
        <w:t>À teneur de l'art. 310 al. 1 let. a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w:t>
      </w:r>
    </w:p>
    <w:p>
      <w:r>
        <w:t>- 6/10 - P/3060/2025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 ATF 138 IV 86 consid. 4.1).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 cit., n. 9 ad art. 310).</w:t>
      </w:r>
    </w:p>
    <w:p>
      <w:r>
        <w:rPr>
          <w:b/>
        </w:rPr>
        <w:t>E. 3.2</w:t>
      </w:r>
    </w:p>
    <w:p>
      <w:r>
        <w:t>Se rend coupable de gestion déloyale (art. 158 ch. 1 CP), quiconque, en vertu de la loi, d'un mandat officiel ou d'un acte juridique, est tenu de gérer les intérêts pécuniaires d'autrui ou de veiller sur leur gestion et qui, en violation de ses devoirs, porte atteinte à ces intérêts ou permet qu'ils soient lésés. Cette infraction suppose la réalisation de quatre éléments constitutifs: il faut que l'auteur ait eu une position de gérant, qu'il ait violé une obligation lui incombant en cette qualité, qu'il en soit résulté un dommage et qu'il ait agi intentionnellement (ATF 120 IV 190 consid 2b). Revêt la qualité de gérant celui à qui il incombe, de fait ou formellement, la responsabilité d'administrer un complexe patrimonial non négligeable dans l'intérêt d'autrui (ATF 142 IV 346 consid. 3.2; 129 IV 124 consid. 3.1).</w:t>
      </w:r>
    </w:p>
    <w:p>
      <w:r>
        <w:rPr>
          <w:b/>
        </w:rPr>
        <w:t>E. 3.3</w:t>
      </w:r>
    </w:p>
    <w:p>
      <w:r>
        <w:t>Se rend coupable d'abus de confiance quiconque, pour se procurer ou procurer à un tiers un enrichissement illégitime, s’approprie une chose mobilière appartenant à autrui et qui lui a été confiée (art. 138 ch. 1 al. 1 CP), ou emploie à son profit ou au profit d’un tiers des valeurs patrimoniales qui lui ont été confiées (art. 138 ch. 1 al. 2 CP). Sur le plan objectif, l'infraction à l'art. 138 ch. 1 al. 2 CP suppose qu'une valeur ait été confiée, autrement dit que l'auteur ait acquis la possibilité d'en disposer, mais que, conformément à un accord (exprès ou tacite) ou un autre rapport juridique, il ne</w:t>
      </w:r>
    </w:p>
    <w:p>
      <w:r>
        <w:t>- 7/10 - P/3060/2025 puisse en faire qu'un usage déterminé, en d'autres termes, qu'il l'ait reçue à charge pour lui d'en disposer au gré d'un tiers, notamment de la conserver, de la gérer ou de la remettre (ATF 143 IV 297 consid. 1.3; 133 IV 21 consid. 6.2). Le comportement délictueux consiste à utiliser la valeur patrimoniale contrairement aux instructions reçues, en s'écartant de la destination fixée (ATF 129 IV 257 consid. 2.2.1; arrêt 6B_972/2022 du 12 janvier 2024 consid. 3.1.1). Suivant les circonstances, des valeurs patrimoniales remises dans le contexte d'un prêt sont susceptibles d'être qualifiées de valeurs patrimoniales confiées. Il faut toutefois définir de cas en cas si le contrat de prêt à la base de leur remise comporte un devoir, à charge du bénéficiaire, d'en conserver la contre-valeur. S'agissant d'un prêt, un tel devoir fera en règle générale défaut, puisque le débiteur est en principe seulement tenu de rembourser la somme prêtée. Des fonds prêtés ne représentent d'ailleurs qu'exceptionnellement des valeurs patrimoniales appartenant à autrui. L'appartenance à autrui des valeurs patrimoniales prêtées et le devoir d'en conserver la contre-valeur (Werterhaltungspflicht) ne seront retenus que lorsque leur affectation est clairement prédéfinie, et sert dans le même temps à assurer la couverture du prêteur ou, à tout le moins, à diminuer son risque de perte. L'utilisation de l'argent prêté contrairement à sa destination convenue peut dès lors être constitutive d'un abus de confiance lorsqu'elle remet en cause cet objectif et s'avère propre à causer un dommage au prêteur (M. DUPUIS / L. MOREILLON / C. PIGUET / S. BERGER / M. MAZOU / V. RODIGARI (éds), Code pénal - Petit commentaire, 2e éd., Bale 2017, n. 35 ad. art. 138 CP).</w:t>
      </w:r>
    </w:p>
    <w:p>
      <w:r>
        <w:rPr>
          <w:b/>
        </w:rPr>
        <w:t>E. 3.4</w:t>
      </w:r>
    </w:p>
    <w:p>
      <w:r>
        <w:t>En l'espèce, il ressort des éléments au dossier que C______ a transmis au mis en cause, pour la société de celui-ci, E______ Sàrl, trois sommes, aux fins d'investissements, et une, à titre de prêt. S'agissant de l'infraction à l'art. 158 CP, aucun élément au dossier ne permet de retenir que le mis en cause aurait revêtu la qualité de gérant concernant les sommes litigieuses, en particulier qu'il aurait été tenu de les gérer dans l'intérêt de C______. Au contraire, il a signé deux documents par lesquels il reconnait avoir reçu les sommes en question, à titre d'investissements et de prêt pour sa société, détaillant, dans le document du 3 janvier 2020, les modalités des retours sur investissements, respectivement du remboursement du prêt à C______. Les recourants n'explicitent au demeurant nullement cet aspect. Ainsi, l'infraction de gestion déloyale n'est pas réalisée, faute de la réalisation d'un élément constitutif objectif essentiel, soit la qualité de gérant du mis en cause.</w:t>
      </w:r>
    </w:p>
    <w:p>
      <w:r>
        <w:rPr>
          <w:b/>
        </w:rPr>
        <w:t>E. 3.5</w:t>
      </w:r>
    </w:p>
    <w:p>
      <w:r>
        <w:t>Les conditions de l'abus de confiance ne sont pas non plus réunies, à commencer par celle des valeurs confiées, au sens de la jurisprudence sus-rappelée. Il ressort des documents à la procédure que trois des montants litigieux ont été octroyés au mis en cause aux fins d'investissements d'abord "à option dans les</w:t>
      </w:r>
    </w:p>
    <w:p>
      <w:r>
        <w:t>- 8/10 - P/3060/2025 domaines de l'alimentaire ainsi que de l'immobilier avec la société E______ Sàrl" puis, "dans différents secteurs d'activité de la société". Par de telles indications, la destination des valeurs concernées apparaît incertaine. Sans instruction précise, l'affectation des fonds n'est donc pas clairement définie, condition pourtant nécessaire à l'infraction précitée, aucun élément ne permettant non plus de penser que le prêt dénoncé aurait été garanti au sens de la jurisprudence précitée. Si les recourants, dans une phrase alambiquée de leur réplique, tentent de parler d'"immobilier", ils ne démontrent toutefois rien à cet égard. Il s'agit ainsi tout au plus d'un litige de nature purement civile, comme l'a relevé à juste titre le Ministère public. Au regard de ce qui précède, aucun acte d'instruction, y compris ceux proposés, ne permettrait d'apporter un élément complémentaire probant, C______ étant par ailleurs décédé. Ainsi, les éléments constitutifs de l'abus de confiance ne sont pas non plus réunis.</w:t>
      </w:r>
    </w:p>
    <w:p>
      <w:r>
        <w:rPr>
          <w:b/>
        </w:rPr>
        <w:t>E. 4</w:t>
      </w:r>
    </w:p>
    <w:p>
      <w:r>
        <w:t>Justifiée, l'ordonnance querellée sera donc confirmée et, partant, le recours rejeté.</w:t>
      </w:r>
    </w:p>
    <w:p>
      <w:r>
        <w:rPr>
          <w:b/>
        </w:rPr>
        <w:t>E. 5</w:t>
      </w:r>
    </w:p>
    <w:p>
      <w:r>
        <w:t>Les recourants qui succombent, supporteront solidairement les frais envers l'État, arrêtés à CHF 1'500.- (art. 428 al. 1 CPP et 13 al. 1 du Règlement fixant le tarif des frais en matière pénale, RTFMP ; E 4 10.03).</w:t>
      </w:r>
    </w:p>
    <w:p>
      <w:r>
        <w:rPr>
          <w:b/>
        </w:rPr>
        <w:t>E. 6</w:t>
      </w:r>
    </w:p>
    <w:p>
      <w:r>
        <w:t>Corrélativement, aucun dépens ne leur sera octroyé.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