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ACPR/45/2023 vom 7. November 2022</w:t>
      </w:r>
    </w:p>
    <w:p>
      <w:r>
        <w:t>GE Cour de justice, 2022-11-07, FR</w:t>
      </w:r>
    </w:p>
    <w:p>
      <w:r>
        <w:rPr>
          <w:b/>
        </w:rPr>
        <w:t xml:space="preserve">Quelle: </w:t>
      </w:r>
      <w:r>
        <w:t>https://mcp.opencaselaw.ch/entscheid/ge_gerichte_ACPR_45_2023</w:t>
      </w:r>
    </w:p>
    <w:p>
      <w:r>
        <w:t>FR: GE_GERICHTE ACPR/45/2023 du 7 novembre 2022</w:t>
      </w:r>
    </w:p>
    <w:p>
      <w:r>
        <w:t>IT: GE_GERICHTE ACPR/45/2023 del 7 novembre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(393 al. 1 let. b CPP; M. NIGGLI / M. HEER / H. WIPRÄCHTIGER (éds), Strafprozessordnung - Jugendstrafprozessordnung, Basler Kommentar StPO/JStPO, 2ème éd., Bâle 2014, n. 12 ad art. 393; cf. aussi ACPR/176/2021 du 16 mars 2021) et émaner du prévenu qui, partie à la procédure (art. 104 al. 1 let. a CPP), a qualité pour agir, ayant un intérêt juridiquement protégé à la modification ou à l'annulation de la décision querellée (art. 382 al. 1 CPP).</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129 I 232 consid. 3.2; 126 I 97 consid. 2b; 124 II 146 consid. 2a; 124 V 180 consid. 1a).</w:t>
      </w:r>
    </w:p>
    <w:p>
      <w:r>
        <w:t>- 5/9 - P/18780/2021 La violation du droit d'être entendu doit entraîner l'annulation de la décision, indépendamment des chances de succès du recours sur le fond (ATF 135 I 187 consid. 2.2;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arrêt du Tribunal fédéral 1B_524/2012 du 15 novembre 2012 consid. 2.1).</w:t>
      </w:r>
    </w:p>
    <w:p>
      <w:r>
        <w:rPr>
          <w:b/>
        </w:rPr>
        <w:t>E. 2.2</w:t>
      </w:r>
    </w:p>
    <w:p>
      <w:r>
        <w:t>En l'occurrence, le TCor mentionne, de manière certes succincte mais suffisante, les éléments ayant conduit à la décision. D'ailleurs, le recourant a été en mesure de la contester dans le cadre de son recours. Le grief du défaut de motivation apparaît dès lors infondé.</w:t>
      </w:r>
    </w:p>
    <w:p>
      <w:r>
        <w:rPr>
          <w:b/>
        </w:rPr>
        <w:t>E. 3</w:t>
      </w:r>
    </w:p>
    <w:p>
      <w:r>
        <w:t>Le recourant reproche au TCor d'avoir refusé sa demande d'exécution anticipée de sa peine.</w:t>
      </w:r>
    </w:p>
    <w:p>
      <w:r>
        <w:rPr>
          <w:b/>
        </w:rPr>
        <w:t>E. 3.1</w:t>
      </w:r>
    </w:p>
    <w:p>
      <w:r>
        <w:t>Selon l'art. 236 al. 1 CPP, la direction de la procédure peut autoriser le prévenu à exécuter de manière anticipée une peine privative de liberté ou une mesure entraînant une privation de liberté si le stade de la procédure le permet. L'exécution anticipée des peines et des mesures est, de par sa nature, une mesure de contrainte qui se classe à la limite entre la poursuite pénale et l'exécution de la peine. Elle doit permettre d'offrir à l'accusé de meilleures chances de resocialisation dans le cadre de l'exécution de la peine avant même l'entrée en force du jugement (ATF 133 I 270 consid. 3.2.1 p. 278). En vertu de l'art. 236 al. 4 CPP, le prévenu est soumis au régime de l'exécution de la peine dès son entrée dans l'établissement, sauf si le but de la détention provisoire ou de la détention pour des motifs de sûreté s'y oppose (arrêts du Tribunal fédéral 1B_426/2012 du 3 août 2012 consid. 2.1; 1B_415/2012 du 25 juillet 2012 consid. 3 et les arrêts cités). Le "stade de la procédure" permettant l'exécution de peine de manière anticipée correspond au moment à partir duquel la présence du prévenu n'est plus immédiatement nécessaire à l'administration des preuves, ce qui est en principe le cas lorsque l'instruction est sur le point d'être close (A. KUHN / Y. JEANNERET / C. PERRIER DEPEURSINGE, Commentaire romand: Code de procédure pénale suisse, 2ème éd., Bâle 2019, n. 2 ad art. 236; arrêt du Tribunal fédéral 1B_415/2012 du 25 juillet 2012 consid. 3 et la référence citée).</w:t>
      </w:r>
    </w:p>
    <w:p>
      <w:r>
        <w:t>- 6/9 - P/18780/2021 Même après ce stade, l'exécution anticipée de la peine doit être refusée lorsqu'un risque élevé de collusion demeure de sorte que le but de la détention et les besoins de l'instruction seraient compromis si le régime de l'exécution anticipée devait être mis en œuvre.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(arrêt du Tribunal fédéral 1B_107/2020 du 24 mars 2020 consid. 2.1). Un risque de collusion justifiant un refus d'exécution anticipée de peine demeure lorsque le fonctionnement concret d'une bande n'a pas pu être établi (arrêts du Tribunal fédéral 1B_415/2012 du 25 juillet 2012 et 1B_107/2020 du 24 mars 2020) ou parce que le prévenu conteste avec véhémence les graves accusations portées contre lui, le risque de collusion demeurant ainsi jusqu'à l'audience de jugement, moment où les preuves essentielles et décisives doivent être administrées (arrêt du Tribunal fédéral 1B_400/2017 du 18 octobre 2017).</w:t>
      </w:r>
    </w:p>
    <w:p>
      <w:r>
        <w:rPr>
          <w:b/>
        </w:rPr>
        <w:t>E. 3.2</w:t>
      </w:r>
    </w:p>
    <w:p>
      <w:r>
        <w:t>En l'occurrence, la Chambre de céans, à laquelle il n'appartient pas d'apprécier le rôle respectif de chacun des prévenus dans le trafic, constate que le recourant est renvoyé en jugement pour infraction grave à la LStup et que le risque de collusion a systématiquement été retenu le concernant. L'intéressé est impliqué dans un important trafic de stupéfiants et de médicaments. L'ensemble des membres du réseau, dont fait partie sa mère, n'ont pas tous été identifiés de sorte qu'il ne peut être exclu que le recourant veuille les avertir de la procédure et des charges pesant sur lui, ce qu'il pourrait faire plus facilement sous le régime de l'exécution de peine. Le recourant a, d'ailleurs, à la lecture des courriers censurés, tenté de faire passer des messages, voire de donner des instructions à de possibles protagonistes du trafic. Enfin, le but de l'art. 236 CPP est d'offrir au détenu un régime d'exécution tenant compte notamment de sa situation et de lui assurer, cas échéant, de meilleures chances de resocialisation (ATF 143 IV 160 consid. 2.1). Or, force est de constater que le recourant ne répond pas à cette condition préalable, faute de pouvoir espérer séjourner en Suisse par la suite.</w:t>
      </w:r>
    </w:p>
    <w:p>
      <w:r>
        <w:rPr>
          <w:b/>
        </w:rPr>
        <w:t>E. 4</w:t>
      </w:r>
    </w:p>
    <w:p>
      <w:r>
        <w:t>Le recourant soutient encore que la décision querellée violerait le principe d'égalité de traitement en ce sens que l'exécution anticipée de peine avait été accordée à d'autres prévenus.</w:t>
      </w:r>
    </w:p>
    <w:p>
      <w:r>
        <w:rPr>
          <w:b/>
        </w:rPr>
        <w:t>E. 4.1</w:t>
      </w:r>
    </w:p>
    <w:p>
      <w:r>
        <w:t>Une décision viole le principe de l'égalité consacré à l'art. 8 al. 1 Cst. lorsqu'elle établit des distinctions juridiques qui ne se justifient par aucun motif</w:t>
      </w:r>
    </w:p>
    <w:p>
      <w:r>
        <w:t>- 7/9 - P/18780/2021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144 I 113 consid. 5.1.1; 142 V 316 consid. 6.1.1). Les situations comparées ne doivent pas nécessairement être identiques en tous points, mais leur similitude doit être établie en ce qui concerne les éléments de fait pertinents pour la décision à prendre (ATF 130 I 65 consid. 3.6 p. 70; 129 I 113 consid. 5.1 p. 125). Un prévenu détenu ne peut pas se prévaloir d'une inégalité de traitement avec un autre prévenu libéré si la loi a été correctement appliquée à son cas (arrêt du Tribunal fédéral 1B_298/2013 du 26 septembre 2013 consid. 4 in fine et les références).</w:t>
      </w:r>
    </w:p>
    <w:p>
      <w:r>
        <w:rPr>
          <w:b/>
        </w:rPr>
        <w:t>E. 4.2</w:t>
      </w:r>
    </w:p>
    <w:p>
      <w:r>
        <w:t>En l'occurrence, le risque de collusion doit s'apprécier pour chaque prévenu individuellement. Or, le Ministère public ne reproche qu'au seul recourant d'avoir tenté de contacter et d'instruire des membres du réseau. Le grief est rejeté.</w:t>
      </w:r>
    </w:p>
    <w:p>
      <w:r>
        <w:rPr>
          <w:b/>
        </w:rPr>
        <w:t>E. 5</w:t>
      </w:r>
    </w:p>
    <w:p>
      <w:r>
        <w:t>Par conséquent, c'est à bon droit que le TCor a refusé la demande du recourant et l'ordonnance querellée doit, partant, être confirmée.</w:t>
      </w:r>
    </w:p>
    <w:p>
      <w:r>
        <w:rPr>
          <w:b/>
        </w:rPr>
        <w:t>E. 6</w:t>
      </w:r>
    </w:p>
    <w:p>
      <w:r>
        <w:t>Le recourant, bien qu'au bénéfice de l'assistance juridique,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Ces frais comprendront un émolument de CHF 800.- (art. 13 al. 1 du Règlement fixant le tarif des frais en matière pénale, RTFMP; E 4 10.03).</w:t>
      </w:r>
    </w:p>
    <w:p>
      <w:r>
        <w:rPr>
          <w:b/>
        </w:rPr>
        <w:t>E. 7</w:t>
      </w:r>
    </w:p>
    <w:p>
      <w:r>
        <w:t>Il n'y a pas lieu d'indemniser à ce stade le défenseur d'office (art. 135 al. 2 CPP). * * * * *</w:t>
      </w:r>
    </w:p>
    <w:p>
      <w:r>
        <w:t>- 8/9 - P/18780/2021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