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ACPR/45/2020 vom 15. Mai 2019</w:t>
      </w:r>
    </w:p>
    <w:p>
      <w:r>
        <w:t>GE Cour de justice, 2019-05-15, FR</w:t>
      </w:r>
    </w:p>
    <w:p>
      <w:r>
        <w:rPr>
          <w:b/>
        </w:rPr>
        <w:t xml:space="preserve">Quelle: </w:t>
      </w:r>
      <w:r>
        <w:t>https://mcp.opencaselaw.ch/entscheid/ge_gerichte_ACPR_45_2020</w:t>
      </w:r>
    </w:p>
    <w:p>
      <w:r>
        <w:t>FR: GE_GERICHTE ACPR/45/2020 du 15 mai 2019</w:t>
      </w:r>
    </w:p>
    <w:p>
      <w:r>
        <w:t>IT: GE_GERICHTE ACPR/45/2020 del 15 maggio 2019</w:t>
      </w:r>
    </w:p>
    <w:p>
      <w:pPr>
        <w:pStyle w:val="Heading2"/>
      </w:pPr>
      <w:r>
        <w:t>Erwägungen</w:t>
      </w:r>
    </w:p>
    <w:p>
      <w:r>
        <w:rPr>
          <w:b/>
        </w:rPr>
        <w:t>E. 1</w:t>
      </w:r>
    </w:p>
    <w:p>
      <w:r>
        <w:t>En dépit de l'abrogation de l'art. 3 let. a LaCP avec effet au 1er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2.1</w:t>
      </w:r>
    </w:p>
    <w:p>
      <w:r>
        <w:t>Selon l’art.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Selon l'art. 36 al. 2 CP, si la peine pécuniaire est prononcée par une autorité administrative, un juge doit statuer sur la peine privative de liberté de substitution. À teneur de l'art. 106 al. 5 CP, les art. 35 et 36 al. 2 à 5 CP sont applicables par analogie à l’exécution et à la conversion de l’amende. Dans la mesure où le Code pénal n’établit aucune base de calcul pour la conversion d’une amende en peine privative de liberté, la doctrine, se fondant d’une part sur le montant maximum de CHF 10'000.- de l’amende contraventionnelle fixé par</w:t>
      </w:r>
    </w:p>
    <w:p>
      <w:r>
        <w:t>- 4/6 - PM/1202/2019 l'art. 106 al. 1 CP, et d’autre part sur la durée maximale de la peine privative de liberté de substitution (art. 106 al. 2 CP), propose de retenir qu’une somme de CHF 100.- (CHF 111.- arrondis à un montant plus aisément utilisable) correspond à un jour de peine privative de liberté, et ainsi de suite par tranche de CHF 100.- (Bänziger/Hubschmid/ Sollberger, Zur Revision des allgemeinen Teils des schweizerischen Strafrechts und zum neuen materiellen Jugendstrafrecht, Berne 2006, p. 83-84), arrondi au jour supérieur.</w:t>
      </w:r>
    </w:p>
    <w:p>
      <w:r>
        <w:rPr>
          <w:b/>
        </w:rPr>
        <w:t>E. 2.2</w:t>
      </w:r>
    </w:p>
    <w:p>
      <w:r>
        <w:t>En l'espèce, le recourant qui ne développe pas ses critiques contre le jugement du TAPEM, lequel apparaît avoir répondu à ses griefs, ne conteste pas que toute poursuite pour dettes contre lui serait inexécutable au regard de son domicile étranger et de l'absence d'activité lucrative. Il ne conteste pas non plus la base de calcul pour la conversion de l'amende totale de CHF 970.- en 10 jours de peine privative de liberté. Rien ne justifie donc de s'écarter de ce mode de calcul (1 jour de peine privative correspondant à CHF 100.- d'amende). C'est à bon droit que le TAPEM a confirmé la conversion.</w:t>
      </w:r>
    </w:p>
    <w:p>
      <w:r>
        <w:rPr>
          <w:b/>
        </w:rPr>
        <w:t>E. 3</w:t>
      </w:r>
    </w:p>
    <w:p>
      <w:r>
        <w:t>Infondé, le recours doit être rejeté.</w:t>
      </w:r>
    </w:p>
    <w:p>
      <w:r>
        <w:rPr>
          <w:b/>
        </w:rPr>
        <w:t>E. 4</w:t>
      </w:r>
    </w:p>
    <w:p>
      <w:r>
        <w:t>Le recourant, qui succombe, supportera les frais envers l'État, y compris un émolument de décision de CHF 300.- (art. 428 al. 1 CPP et 13 al. 1 du Règlement fixant le tarif des frais en matière pénale, RTFMP ; E 4 10.03). * * * * *</w:t>
      </w:r>
    </w:p>
    <w:p>
      <w:r>
        <w:t>- 5/6 - PM/1202/2019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