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ACPR/458/2022 vom 30. Mai 2022</w:t>
      </w:r>
    </w:p>
    <w:p>
      <w:r>
        <w:t>GE Cour de justice, 2022-05-30, FR</w:t>
      </w:r>
    </w:p>
    <w:p>
      <w:r>
        <w:rPr>
          <w:b/>
        </w:rPr>
        <w:t xml:space="preserve">Quelle: </w:t>
      </w:r>
      <w:r>
        <w:t>https://mcp.opencaselaw.ch/entscheid/ge_gerichte_ACPR_458_2022</w:t>
      </w:r>
    </w:p>
    <w:p>
      <w:r>
        <w:t>FR: GE_GERICHTE ACPR/458/2022 du 30 mai 2022</w:t>
      </w:r>
    </w:p>
    <w:p>
      <w:r>
        <w:t>IT: GE_GERICHTE ACPR/458/2022 del 30 maggio 2022</w:t>
      </w:r>
    </w:p>
    <w:p>
      <w:pPr>
        <w:pStyle w:val="Heading2"/>
      </w:pPr>
      <w:r>
        <w:t>Erwägungen</w:t>
      </w:r>
    </w:p>
    <w:p>
      <w:r>
        <w:rPr>
          <w:b/>
        </w:rPr>
        <w:t>E. 1</w:t>
      </w:r>
    </w:p>
    <w:p>
      <w:r>
        <w:t>Le recours a été déposé selon la forme et dans le délai prescrits (art. 385 al. 1 et 396 al. 1 CPP) et émane de la prévenue, partie à la procédure (art. 104 al. 1 let. a CPP). En tant que l'acte attaqué fait interdiction aux parties et plus précisément à la prévenue, de participer à l'administration des preuves, cette dernière dispose d'un intérêt juridique à recourir contre cette décision auprès de la Chambre de céans (art. 393 al. 1 let. a et 382 al. 1 CPP; arrêt du Tribunal fédéral 1B_329/2014 du 1er décembre 2014 consid. 2.3; ACPR/40/2021 du 21 juin 2021; ACPR/507/2019 du</w:t>
      </w:r>
    </w:p>
    <w:p>
      <w:r>
        <w:rPr>
          <w:b/>
        </w:rPr>
        <w:t>E. 3</w:t>
      </w:r>
    </w:p>
    <w:p>
      <w:r>
        <w:t>juillet 2019 et ACPR/402/2018 du 23 juillet 2018). Partant, le recours est recevable. 2. La Chambre pénale de recours peut décider d'emblée de traiter sans échange d'écritures ni débats les recours manifestement mal fondés (art. 390 al. 2 et 5 a contrario CPP). Tel est le cas en l'occurrence, au vu des considérations qui suivent.</w:t>
      </w:r>
    </w:p>
    <w:p>
      <w:r>
        <w:t>- 5/9 - P/8250/2022</w:t>
      </w:r>
    </w:p>
    <w:p>
      <w:r>
        <w:rPr>
          <w:b/>
        </w:rPr>
        <w:t>E. 3.1</w:t>
      </w:r>
    </w:p>
    <w:p>
      <w:r>
        <w:t>Même après l'ouverture de l'instruction, le Ministère public peut charger la police d'investigations complémentaires (art. 312 al. 1 ab initio CPP). Lorsqu'il charge la police d'effectuer des interrogatoires, les participants à la procédure jouissent des droits accordés dans le cadre des auditions effectuées par le Ministère public (art. 312 al. 2 CPP). Autrement dit, les règles de l'art. 147 al. 1 CPP, qui consacrent le principe de l'administration des preuves en présence des parties durant la procédure d'instruction et les débats, s'appliquent alors (ATF 139 IV 25 consid. 5.4.3 = JdT 2013 IV 226).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 Dans son arrêt précité, le Tribunal fédéral a confirmé que, lorsque la police agit sur délégation du Ministère public, avant ou après l'ouverture de l'enquête pénale, le prévenu ne pouvait être exclu de l'interrogatoire des personnes appelées à donner des renseignements et des témoins que dans les limites fixées par les art. 108 al. 1 et 2 CPP et, par analogie, 101 al. 1 CPP. À ce titre, le Ministère public pouvait, exceptionnellement, s'il existait des raisons objectives, restreindre temporairement la participation aux auditions. De tels motifs existaient, notamment, lorsque les charges n'avaient pas encore été établies, et en cas de risque concret de collusion. La simple possibilité d'une atteinte abstraite aux intérêts de la procédure - après la première audition du prévenu - ne justifiait pas encore l'exclusion de ce dernier (consid. 5.5.2 à 5.5.5). Cette restriction s'étendait également au conseil du prévenu, compte tenu du devoir de fidélité de l'avocat envers son client (ATF 139 IV 294 consid. 4.5 et 139 IV 25 consid. 5.4.1; A. GUISAN, La violation du droit de participer (art. 147 CPP), in AJP/PJA 3/2019, p. 337 ss, p. 342; cf. aussi ACPR/409/2021 du 21 juin 2021 consid. 2.2.1).</w:t>
      </w:r>
    </w:p>
    <w:p>
      <w:r>
        <w:rPr>
          <w:b/>
        </w:rPr>
        <w:t>E. 3.2</w:t>
      </w:r>
    </w:p>
    <w:p>
      <w:r>
        <w:t>L'art. 101 al. 1 CPP, applicable par analogie, permet aux parties, sous réserve de l'art. 108 CPP, de consulter le dossier de la procédure au plus tard après la première audition du prévenu et l'administration des preuves principales par le ministère public. Il s'agit de conditions cumulatives (arrêt du Tribunal fédéral 1B_667/2011 du 7 février 2012 consid. 1.2). La manifestation de la vérité et le bon déroulement de l'enquête sont des intérêts publics prépondérants, qui ont amené le législateur à clairement refuser de</w:t>
      </w:r>
    </w:p>
    <w:p>
      <w:r>
        <w:t>- 6/9 - P/8250/2022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StPO/JStPO, 2e éd., Bâle 2014, n. 14 ad art. 101 CPP). L'intérêt de l'enquête peut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(arrêt du Tribunal pénal fédéral du 24 mai 2012 BB.2012.27 consid. 2.3; ACPR/201/2022 du 22 mars 2022 consid. 4.1).</w:t>
      </w:r>
    </w:p>
    <w:p>
      <w:r>
        <w:rPr>
          <w:b/>
        </w:rPr>
        <w:t>E. 3.3</w:t>
      </w:r>
    </w:p>
    <w:p>
      <w:r>
        <w:t>En l'espèce, le Ministère public a justifié l'exclusion de la recourante et de son conseil par la nécessité d'administrer des preuves principales. La recourante, prévenue, a certes déjà été entendue ès qualité par la police, le Ministère public et le TMC. Le mandat d'actes d'enquête litigieux a en outre été rendu en application de l'art. 312 CPP, de sorte que le principe qui prévaut est celui de l'administration des preuves en présence des parties, y compris en cas d'audition déléguée à la police. Toutefois, les auditions litigieuses sont susceptibles de constituer de nouveaux éléments à charge, lesquels pourraient révéler une responsabilité pénale de la prévenue envers d'autres victimes – une quinzaine selon la recourante – qui n'ont pas fait l'objet d'une mise en prévention ni d'une extension de l'instruction et sur lesquels la prévenue n'a pas encore été auditionnée. En effet, elle a seulement été entendue sur les faits dénoncés par C______ et D______. À ces occasions, la recourante a mentionné avoir octroyé des prêts à 15 ou 16 autres personnes, sans donner leur identité, ni renseigner sur le montant des prêts accordés, ou sur les remboursements effectués, se limitant à renvoyer la police à son "carnet de comptabilité", prétextant ne pas se souvenir "de tête". L'audition déléguée des personnes identifiées par la police, ainsi que d'autres victimes potentielles qui pourraient résulter de leurs témoignages, constituent ainsi des preuves principales nouvelles. Partant, le Ministère public était fondé, sous l'angle de l'art. 101 CPP, à exclure la présence de la prévenue et de son conseil, à ce stade de l'enquête. Il convient en effet que la prévenue ne puisse adapter en connaissance de cause ses déclarations en</w:t>
      </w:r>
    </w:p>
    <w:p>
      <w:r>
        <w:t>- 7/9 - P/8250/2022 fonction de la déposition des personnes auditionnées, sous peine de mettre en péril la recherche de la vérité. Par cette décision, le Ministère public entend également éviter tout risque d'influence voire d'intimidation de la part de la prévenue ou de son conseil. Ce souci apparaît légitime, eu égard au risque de collusion très concret déjà retenu par la Chambre de céans (ACPR/375/2022 précité). Ainsi, à l'instar du prévenu qui n'a pas encore été interrogé et qui peut être exclu de l'audition d'un coaccusé si cette audition se rapporte à des faits objets de l'enquête qui concerne l'accusé personnellement et pour lesquels aucune injonction n'a pu encore lui être signifiée, il se justifie également, et a fortiori en l'occurrence, au vu du risque concret de collusion, d'exclure la recourante de l'audition, par la police, de ses victimes potentielles qui n'ont pas encore été entendues à propos de faits pour lesquels aucune injonction n'a pu encore être signifiée à la prévenue. Par ailleurs, au regard de ce qui précède, c'est à juste titre que le Ministère public a étendu cette restriction au conseil du prévenu, compte tenu de son devoir de fidélité envers sa cliente. Partant, la décision querellée ne prête pas le flanc à la critique.</w:t>
      </w:r>
    </w:p>
    <w:p>
      <w:r>
        <w:rPr>
          <w:b/>
        </w:rPr>
        <w:t>E. 4</w:t>
      </w:r>
    </w:p>
    <w:p>
      <w:r>
        <w:t>Justifiée, la décision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- 8/9 - P/8250/2022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