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ACPR/458/2021 vom 9. April 2021</w:t>
      </w:r>
    </w:p>
    <w:p>
      <w:r>
        <w:t>GE Cour de justice, 2021-04-09, FR</w:t>
      </w:r>
    </w:p>
    <w:p>
      <w:r>
        <w:rPr>
          <w:b/>
        </w:rPr>
        <w:t xml:space="preserve">Quelle: </w:t>
      </w:r>
      <w:r>
        <w:t>https://mcp.opencaselaw.ch/entscheid/ge_gerichte_ACPR_458_2021</w:t>
      </w:r>
    </w:p>
    <w:p>
      <w:r>
        <w:t>FR: GE_GERICHTE ACPR/458/2021 du 9 avril 2021</w:t>
      </w:r>
    </w:p>
    <w:p>
      <w:r>
        <w:t>IT: GE_GERICHTE ACPR/458/2021 del 9 aprile 2021</w:t>
      </w:r>
    </w:p>
    <w:p>
      <w:pPr>
        <w:pStyle w:val="Heading2"/>
      </w:pPr>
      <w:r>
        <w:t>Erwägungen</w:t>
      </w:r>
    </w:p>
    <w:p>
      <w:r>
        <w:rPr>
          <w:b/>
        </w:rPr>
        <w:t>E. 1.1</w:t>
      </w:r>
    </w:p>
    <w:p>
      <w:r>
        <w:t>Les recours sont recevables pour avoir été déposés selon la forme et dans le délai prescrits (art. 385 al. 1 et 396 al. 1 CPP), concerner une ordonnance sujette à recours auprès de la Chambre de céans (art. 393 al. 1 let. a CPP) et émaner des prévenus (art. 104 al. 1 let. a CPP), qui ont qualité pour agir, ayant un intérêt juridiquement protégé à la modification ou à l'annulation de la décision querellée (art. 382 al. 1 CPP).</w:t>
      </w:r>
    </w:p>
    <w:p>
      <w:r>
        <w:rPr>
          <w:b/>
        </w:rPr>
        <w:t>E. 1.2</w:t>
      </w:r>
    </w:p>
    <w:p>
      <w:r>
        <w:t>En tant qu'ils ont été interjetés contre la même ordonnance et ont trait au même complexe de faits, les deux recours seront joints et la Chambre de céans statuera par un seul et même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contestent la commission de toute infraction pénale.</w:t>
      </w:r>
    </w:p>
    <w:p>
      <w:r>
        <w:rPr>
          <w:b/>
        </w:rPr>
        <w:t>E. 3.1</w:t>
      </w:r>
    </w:p>
    <w:p>
      <w:r>
        <w:t>L'art. 263 al. 1 CPP prévoit que des valeurs patrimoniales appartenant au prévenu ou à des tiers peuvent être mises sous séquestre, lorsqu'il est probable qu'elles seront utilisées comme moyens de preuves (let. a); seront utilisées pour garantir le paiement des frais de procédure, des peines pécuniaires, des amendes et des indemnités (let. b); devront être restituées au lésé (let. c); ou devront être confisquées (let. d).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L'autorité doit pouvoir décider rapidement du séquestre (art. 263 al. 2 CPP), ce qui exclut qu'elle résolve des questions juridiques complexes ou qu'elle attende d'être renseignée de manière exacte et complète sur les faits avant d'agir (ATF 116 Ib 96</w:t>
      </w:r>
    </w:p>
    <w:p>
      <w:r>
        <w:t>- 5/8 - P/9157/2020 consid. 3a;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Bâle 2019 n. 17-22 ad art. 263).</w:t>
      </w:r>
    </w:p>
    <w:p>
      <w:r>
        <w:rPr>
          <w:b/>
        </w:rPr>
        <w:t>E. 3.2</w:t>
      </w:r>
    </w:p>
    <w:p>
      <w:r>
        <w:t>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Le séquestre pénal doit être maintenu tant que subsiste une probabilité de confiscation (SJ 1994 p. 90 et 102).</w:t>
      </w:r>
    </w:p>
    <w:p>
      <w:r>
        <w:rPr>
          <w:b/>
        </w:rPr>
        <w:t>E. 3.3</w:t>
      </w:r>
    </w:p>
    <w:p>
      <w:r>
        <w:t>En l'espèce, les recourants sont soupçonnés de gestion fautive au sens de l'art. 165 ch. 1 CP, disposition qui réprime le fait, pour un débiteur, d'avoir, par des fautes de gestion, notamment par des dépenses exagérées, par l'octroi ou l'utilisation à la légère de crédits, causé ou aggravé son surendettement, causé sa propre insolvabilité ou aggravé sa situation alors qu'il se savait insolvable. Or, les éléments du dossier ne permettent pas d'exclure d'emblée que les sommes d'argent conséquentes leur ayant bénéficié, sous couvert de prêts, alors que la société C______ SARL, dont ils étaient les associés gérants, n'était déjà pas en bonne situation financière, n'auraient pas occasionné le surendettement, puis la faillite, de cette dernière. Les prévenus admettent que lesdits prêts – qu'ils n'étaient pas en mesure de rembourser – avaient servi à financer leur train de vie et à acquérir des biens immobiliers à titre privé, ce qui les rend d'autant plus suspects. Leurs explications selon lesquelles les actes en question étaient conformes aux intérêts de la société, tout comme celles selon lesquelles le surendettement de la société serait uniquement</w:t>
      </w:r>
    </w:p>
    <w:p>
      <w:r>
        <w:t>- 6/8 - P/9157/2020 dû au changement de politique commerciale d'un de leur fournisseur, apparaissent ainsi largement sujets à caution et nécessitent des investigations complémentaires. Partant, le séquestre, en tant qu'il pourrait permettre une éventuelle confiscation des fonds, voire une créance compensatrice, est justifié à ce stade précoce de l'enquête. Quant à l'argument des recourants relatifs à l'absence de délivrance d'un acte de défaut de biens à la plaignante, ce qui rendrait sa plainte irrecevable, il est dénué de tout fondement, la société C______ SARL étant soumise aux règles de la faillite. L'art. 165 ch. 2 CP est dès lors exclu.</w:t>
      </w:r>
    </w:p>
    <w:p>
      <w:r>
        <w:rPr>
          <w:b/>
        </w:rPr>
        <w:t>E. 4</w:t>
      </w:r>
    </w:p>
    <w:p>
      <w:r>
        <w:t>Justifiée, la décision querellée sera donc confirmée.</w:t>
      </w:r>
    </w:p>
    <w:p>
      <w:r>
        <w:rPr>
          <w:b/>
        </w:rPr>
        <w:t>E. 5</w:t>
      </w:r>
    </w:p>
    <w:p>
      <w:r>
        <w:t>Les recourants, qui succombent, supporteront chacun par moitié les frais envers l'État, qui seront fixés en totalité à CHF 1'000.-, émolument de décision inclus (art. 428 al. 1 CPP et 13 al. 1 du Règlement fixant le tarif des frais en matière pénale, RTFMP ; E 4 10.03). * * * * *</w:t>
      </w:r>
    </w:p>
    <w:p>
      <w:r>
        <w:t>- 7/8 - P/9157/2020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