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ACPR/456/2023 vom 18. April 2023</w:t>
      </w:r>
    </w:p>
    <w:p>
      <w:r>
        <w:t>GE Cour de justice, 2023-04-18, FR</w:t>
      </w:r>
    </w:p>
    <w:p>
      <w:r>
        <w:rPr>
          <w:b/>
        </w:rPr>
        <w:t xml:space="preserve">Quelle: </w:t>
      </w:r>
      <w:r>
        <w:t>https://mcp.opencaselaw.ch/entscheid/ge_gerichte_ACPR_456_2023</w:t>
      </w:r>
    </w:p>
    <w:p>
      <w:r>
        <w:t>FR: GE_GERICHTE ACPR/456/2023 du 18 avril 2023</w:t>
      </w:r>
    </w:p>
    <w:p>
      <w:r>
        <w:t>IT: GE_GERICHTE ACPR/456/2023 del 18 aprile 2023</w:t>
      </w:r>
    </w:p>
    <w:p>
      <w:pPr>
        <w:pStyle w:val="Heading2"/>
      </w:pPr>
      <w:r>
        <w:t>Erwägungen</w:t>
      </w:r>
    </w:p>
    <w:p>
      <w:r>
        <w:rPr>
          <w:b/>
        </w:rPr>
        <w:t>E. 1.1</w:t>
      </w:r>
    </w:p>
    <w:p>
      <w:r>
        <w:t>Le recours concerne une ordonnance sujette à recours auprès de la Chambre de céans (art. 222 et 393 al. 1 let. c CPP) et émane du prévenu qui, partie à la procédure (art. 104 al. 1 let. a CPP), a qualité pour agir, ayant un intérêt juridiquement protégé à la modification ou à l'annulation de la décision querellée (art. 382 al. 1 CPP).</w:t>
      </w:r>
    </w:p>
    <w:p>
      <w:r>
        <w:t>- 6/11 - P/10616/2021</w:t>
      </w:r>
    </w:p>
    <w:p>
      <w:r>
        <w:rPr>
          <w:b/>
        </w:rPr>
        <w:t>E. 1.2</w:t>
      </w:r>
    </w:p>
    <w:p>
      <w:r>
        <w:t>Le délai pour recourir est de dix jours (art. 396 al. 1 CPP). En l'espèce, il venait à échéance le 28 avril 2023. Une installation "MyPost 24" est assimilée à un bureau de poste suisse; en cas de dysfonctionnement de cette installation automatique, l’utilisateur doit requérir immédiatement la restitution du délai et accomplir en même temps l’acte de procédure omis (arrêt du Tribunal fédéral 5A_972/2018 du 5 février 2019 consid. 4.2 et les références citées). En l'occurrence, par suite de la réception par la Chambre de céans du pli, il est établi que le recours a bien été déposé le 28 avril 2023, de sorte que la demande de restitution de délai est sans objet et le recours, recevable.</w:t>
      </w:r>
    </w:p>
    <w:p>
      <w:r>
        <w:rPr>
          <w:b/>
        </w:rPr>
        <w:t>E. 2</w:t>
      </w:r>
    </w:p>
    <w:p>
      <w:r>
        <w:t>Le recourant ne contestant pas les charges retenues, il n'y a pas à s'y attarder, mais à renvoyer, en tant que de besoin, à la motivation adoptée par le premier juge (art 82 al. 4 CPP; ACPR/747/2020 du 22 octobre 2020 consid. 2 et les références), qui expose les indices graves et concordants pesant sur le prévenu.</w:t>
      </w:r>
    </w:p>
    <w:p>
      <w:r>
        <w:rPr>
          <w:b/>
        </w:rPr>
        <w:t>E. 3</w:t>
      </w:r>
    </w:p>
    <w:p>
      <w:r>
        <w:t>Le recourant conteste tout risque de collusion.</w:t>
      </w:r>
    </w:p>
    <w:p>
      <w:r>
        <w:rPr>
          <w:b/>
        </w:rPr>
        <w:t>E. 3.1</w:t>
      </w:r>
    </w:p>
    <w:p>
      <w:r>
        <w:t>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Selon l'art. 237 al. 1 CPP, le tribunal compétent ordonne une ou plusieurs mesures moins sévères en lieu et place de la détention si elles permettent d'atteindre le même but que la détention, par exemple la saisie de documents d'identité et autres documents officiels (let. b), l'assignation à résidence ou l'interdiction de se rendre dans un certain lieu ou un certain immeuble (let. c), l'obligation de se présenter régulièrement à un service administratif (let. d) ou l'interdiction d'entretenir des relations avec certaines personnes (al. 2 let. g).</w:t>
      </w:r>
    </w:p>
    <w:p>
      <w:r>
        <w:t>- 7/11 - P/10616/2021</w:t>
      </w:r>
    </w:p>
    <w:p>
      <w:r>
        <w:rPr>
          <w:b/>
        </w:rPr>
        <w:t>E. 3.3</w:t>
      </w:r>
    </w:p>
    <w:p>
      <w:r>
        <w:t>En l'espèce, depuis la libération du frère du recourant, le risque de collusion s'est amoindri. Partant, le risque résiduel de collusion, en cas de libération du recourant, pourrait être pallié par la même mesure de substitution que celle imposée à son frère.</w:t>
      </w:r>
    </w:p>
    <w:p>
      <w:r>
        <w:rPr>
          <w:b/>
        </w:rPr>
        <w:t>E. 4</w:t>
      </w:r>
    </w:p>
    <w:p>
      <w:r>
        <w:t>Le recourant considère que l'éventuel risque de fuite pouvait être pallié par des mesures de substitution.</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l'espèce, le recourant, qui faisait l'objet d'une interdiction de quitter la Suisse après sa libération en octobre 2021, ne s'est pas enfui. Certes, la peine concrètement encourue s'est alourdie avec la prévention pour les faits survenus en février 2023, mais tel est le cas pour son frère également, dont la situation en Suisse est la même, de sorte qu'on ne voit pas que le risque de fuite a augmenté au point que les mesures ordonnées en octobre 2021 ne puissent pas être reprises ici.</w:t>
      </w:r>
    </w:p>
    <w:p>
      <w:r>
        <w:rPr>
          <w:b/>
        </w:rPr>
        <w:t>E. 5</w:t>
      </w:r>
    </w:p>
    <w:p>
      <w:r>
        <w:t>Le recourant conteste tout risque de réitération et invoque le principe de l'égalité de traitement vis-à-vis de son frère.</w:t>
      </w:r>
    </w:p>
    <w:p>
      <w:r>
        <w:rPr>
          <w:b/>
        </w:rPr>
        <w:t>E. 5.1</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 Bien qu'une application littérale de l'art. 221 al. 1 let. c CPP suppose l'existence d'antécédents, le</w:t>
      </w:r>
    </w:p>
    <w:p>
      <w:r>
        <w:t>- 8/11 - P/10616/2021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w:t>
      </w:r>
    </w:p>
    <w:p>
      <w:r>
        <w:rPr>
          <w:b/>
        </w:rPr>
        <w:t>E. 5.2</w:t>
      </w:r>
    </w:p>
    <w:p>
      <w:r>
        <w:t>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144 I 113 consid. 5.1.1 p. 115; 142 V 316 consid. 6.1.1 p. 323). Les situations comparées ne doivent pas nécessairement être identiques en tous points, mais leur similitude doit être établie en ce qui concerne les éléments de fait pertinents pour la décision à prendre (ATF 130 I 65 consid. 3.6 p. 70; 129 I 113 consid. 5.1 p. 125). Un prévenu détenu ne peut pas se prévaloir d'une inégalité de traitement avec un autre prévenu libéré si la loi a été correctement appliquée à son cas (arrêt du Tribunal fédéral 1B_298/2013 du 26 septembre 2013 consid. 4 in fine et les références).</w:t>
      </w:r>
    </w:p>
    <w:p>
      <w:r>
        <w:rPr>
          <w:b/>
        </w:rPr>
        <w:t>E. 5.3</w:t>
      </w:r>
    </w:p>
    <w:p>
      <w:r>
        <w:t>En l'espèce, le risque de réitération est indéniable et important, le recourant ne contestant pas avoir pris part à une rixe, alors même qu'il était soumis à des mesures de substitution – par suite d'une précédente prévention de tentative de meurtre et de rixe – visant à l'empêcher de commettre de nouveaux actes de violence. Or, le risque de collusion doit s'apprécier à l'aune de la gravité plus élevée des charges qui pèsent sur le recourant qui, contrairement à son frère – dont il est l'aîné de deux ans –, n'a pas hésité à faire usage d'un spray incapacitant dans le cadre de la nouvelle rixe de février 2023. Le recourant ne saurait donc invoquer, ici, le principe de l'égalité de traitement, la situation n'étant pas semblable, étant relevé que les faits reprochés au recourant sont graves, en tant qu'ils visent l'intégrité corporelle de tiers. C'est en vain, aussi, qu'il allègue être intervenu dans une rixe déjà existante. L'interdiction de quitter son domicile entre 22 heures et 6 heures ne paraît au demeurant pas suffisant à pallier l'important risque retenu, étant relevé que les faits qui lui sont reprochés ont parfois eu lieu après l'heure sus-indiquée, et l'interdiction de fréquenter certaines discothèques ou manifestations festives paraît difficile à contrôler.</w:t>
      </w:r>
    </w:p>
    <w:p>
      <w:r>
        <w:t>- 9/11 - P/10616/2021 Le TMC a ainsi correctement appliqué la loi en retenant un risque de récidive qu'aucune mesure de substitution ne serait apte à pallier.</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6.2</w:t>
      </w:r>
    </w:p>
    <w:p>
      <w:r>
        <w:t>En l'espèce, la peine concrètement encourue dépasse, si les faits reprochés au recourant devaient être confirmés, la détention provisoire ordonnée à ce jour. Le recourant invoque vouloir mener à bien sa formation, mais ce motif avait déjà été invoqué lors de sa détention provisoire en 2021, de sorte qu'il ne peut s'en prendre qu'à lui-même si celle-ci est – à nouveau – compromise.</w:t>
      </w:r>
    </w:p>
    <w:p>
      <w:r>
        <w:rPr>
          <w:b/>
        </w:rPr>
        <w:t>E. 7</w:t>
      </w:r>
    </w:p>
    <w:p>
      <w:r>
        <w:t>Le recours s'avère ainsi infondé et doit être rejeté.</w:t>
      </w:r>
    </w:p>
    <w:p>
      <w:r>
        <w:rPr>
          <w:b/>
        </w:rPr>
        <w:t>E. 8</w:t>
      </w:r>
    </w:p>
    <w:p>
      <w:r>
        <w:t>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 * * * * *</w:t>
      </w:r>
    </w:p>
    <w:p>
      <w:r>
        <w:t>- 10/11 - P/10616/2021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