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ACPR/455/2025 vom 30. April 2025</w:t>
      </w:r>
    </w:p>
    <w:p>
      <w:r>
        <w:t>GE Cour de justice, 2025-04-30, FR</w:t>
      </w:r>
    </w:p>
    <w:p>
      <w:r>
        <w:rPr>
          <w:b/>
        </w:rPr>
        <w:t xml:space="preserve">Quelle: </w:t>
      </w:r>
      <w:r>
        <w:t>https://mcp.opencaselaw.ch/entscheid/ge_gerichte_ACPR_455_2025</w:t>
      </w:r>
    </w:p>
    <w:p>
      <w:r>
        <w:t>FR: GE_GERICHTE ACPR/455/2025 du 30 avril 2025</w:t>
      </w:r>
    </w:p>
    <w:p>
      <w:r>
        <w:t>IT: GE_GERICHTE ACPR/455/2025 del 30 aprile 2025</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- 4/8 - P/12003/2022</w:t>
      </w:r>
    </w:p>
    <w:p>
      <w:r>
        <w:rPr>
          <w:b/>
        </w:rPr>
        <w:t>E. 3.1</w:t>
      </w:r>
    </w:p>
    <w:p>
      <w:r>
        <w:t>Selon l'art. 133 CPP, le défenseur d'office est désigné par la direction de la procédure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 3 let. c CEDH (arrêt du Tribunal fédéral 1B_387/2012 du 24 janvier 2013 consid. 4.3).</w:t>
      </w:r>
    </w:p>
    <w:p>
      <w:r>
        <w:rPr>
          <w:b/>
        </w:rPr>
        <w:t>E. 3.2</w:t>
      </w:r>
    </w:p>
    <w:p>
      <w:r>
        <w:t>Une demande de remplacement du défenseur d'office ne peut être admise que si, pour des motifs objectifs, une défense compétente et efficace des intérêts du prévenu n'est plus garantie (ATF 116 Ia 102 consid. 4b/aa). Que la personne bénéficiaire n'apprécie pas son avocat ou doute de ses capacités ne suffit pas (B. CORBOZ, Le droit constitutionnel à l'assistance judiciaire, in SJ 2003 II p. 84). L'art 134 al. 2 CPP précise à ce propos qu'une défense compétente et efficace ne peut plus être assurée non seulement en cas de violation objective du devoir d'assistance, mais déjà en cas de perturbation grave de la relation de confiance entre le prévenu et le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1B_375/2012 du 15 août 2012 consid. 1.1).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simplement à endosser le rôle de porte-parole sans esprit critique de l'accusé, qui se limiterait à se faire l'interprète des sentiments et des arguments de son client (ATF 116 Ia 102 consid. 4b/bb; 105 Ia 296 consid. 1e).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2e éd., Bâle 2019, n. 17 ad art. 134).</w:t>
      </w:r>
    </w:p>
    <w:p>
      <w:r>
        <w:rPr>
          <w:b/>
        </w:rPr>
        <w:t>E. 3.3</w:t>
      </w:r>
    </w:p>
    <w:p>
      <w:r>
        <w:t>En l'espèce, le recourant semble tout d'abord contester avoir chargé Me B______ de sa défense, lors de la reprise de la procédure par les autorités genevoises, en mai 2024. Or, il ressort du dossier qu'une défense d'office en sa faveur, en la personne du conseil précité, a été valablement ordonnée par le Ministère public le 29 mai 2024. Cette décision n'ayant pas fait l'objet d'un recours, elle est entrée en force et ne peut, partant, plus être remise en cause aujourd'hui.</w:t>
      </w:r>
    </w:p>
    <w:p>
      <w:r>
        <w:t>- 5/8 - P/12003/2022 On comprend ensuite des griefs du recourant qu'il reproche à son avocat de ne pas assurer sa défense de manière efficace. Cependant, son défenseur d'office – qui n'a pas demandé à être relevé de son mandat – l'assiste dans le cadre de la procédure depuis plus d'un an [à compter de la reprise de la cause par le Ministère public genevois] sans qu'il n'apparaisse que le recourant se soit plaint de ne pas être défendu efficacement. On ne discerne, en outre, pas de manquements particuliers de l'avocat, qui auraient trait à des initiatives préjudiciables aux intérêts du recourant. Au contraire, le conseil du recourant a consulté le dossier de la procédure à plusieurs reprises et a sollicité une prolongation de délai afin d'être en mesure de formuler d'éventuelles réquisitions de preuve, après consultation de son client, afin de garantir au mieux ses droits. Au vu de ce qui précède, le grief du recourant selon lequel son défenseur ne l'avait pas tenu informé de l'avancement de la procédure, laquelle se prolongeait ensuite des demandes de prolongation de délai de son conseil, ne saurait, sans autre précision, justifier un changement d'avocat. L'avancement de l'instruction dépend au demeurant du Ministère public et non du défenseur, de sorte que le prolongement de la procédure ne saurait être imputable à ce dernier. Le recourant reconnait d'ailleurs lui-même que son avocat est "professionnel", mais qu'il en préférerait un autre. Partant, aucun élément, à ce stade, ne permet de retenir qu'une défense efficace des intérêts du recourant ne serait pas assurée par son défenseur. Le recourant allègue encore "une rupture de confiance et de confidentialité" avec son défenseur d'office, mais on peine à voir dans les exemples qu'il donne un motif objectif de rupture de ce lien. En effet, comme relevé supra au consid. 3.2, de simples divergences d'opinions dans la manière d'assurer la défense du prévenu ne constituent pas un motif justifiant un changement d'avocat. La mission de ce dernier ne se limite pas à se faire l'interprète des sentiments et des arguments de son client. Ainsi, que la stratégie de défense de l'avocat d'office ne plaise pas au prévenu, comme cela semble être le cas ici, n'est pas de nature à gravement perturber la relation de confiance entre eux. Il s'ensuit que même si les propos possiblement moralisateurs de l'avocat, alors excusé par son collaborateur ["Si vous continuez, je vais péter les plombs et je vais partir"], ont déplu au recourant, cela ne signifie pas encore que la relation de confiance entre eux serait rompue. Il en va de même du fait qu'il juge "absolument inacceptable" que l'avocat aurait déclaré un temps de visite en prison plus long que celui réellement effectué dans le cadre d'une procédure civile parallèle, dires qu'il n'établit, en tout état, nullement par pièces. Il n'explique, en outre, pas en quoi cette attitude serait gravement préjudiciable à ses propres intérêts.</w:t>
      </w:r>
    </w:p>
    <w:p>
      <w:r>
        <w:t>- 6/8 - P/12003/2022 Il n'existe ainsi, en l'état, aucun motif objectif laissant entrevoir que Me B______ n'assurerait pas une défense efficace du recourant ou que la relation de confiance entre eux serait gravement perturbée. Au regard des conditions strictes posées par l'art. 134 al. 2 CPP, le changement du défenseur d'office désigné ne se justifie donc pas. Enfin, le recourant, qui bénéfice d'une défense d'office prise en charge par l'État, ne dispose pas d'un droit à la désignation de l'avocat de son choix, contrairement aux personnes qui rémunèrent leur avocat privé par leurs propres moyens.</w:t>
      </w:r>
    </w:p>
    <w:p>
      <w:r>
        <w:rPr>
          <w:b/>
        </w:rPr>
        <w:t>E. 4</w:t>
      </w:r>
    </w:p>
    <w:p>
      <w:r>
        <w:t>Le recours sera dès lors rejeté.</w:t>
      </w:r>
    </w:p>
    <w:p>
      <w:r>
        <w:rPr>
          <w:b/>
        </w:rPr>
        <w:t>E. 5</w:t>
      </w:r>
    </w:p>
    <w:p>
      <w:r>
        <w:t>Le recourant, bien qu'au bénéfice de l'assistance juridique, supportera les frais de la procédure de recours (art. 428 al. 1 CPP; arrêts du Tribunal fédéral 1B_203/2011 du 18 mai 2011 consid. 4 et 1B_372/2014 du 8 avril 2015 consid. 4.6), qui seront fixés en totalité à CHF 500.- (art. 13 al. 1 du Règlement fixant le tarif des frais en matière pénale, RTFMP; E 4 10.03). * * * * *</w:t>
      </w:r>
    </w:p>
    <w:p>
      <w:r>
        <w:t>- 7/8 - P/12003/2022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