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ACPR/454/2025 vom 2. April 2025</w:t>
      </w:r>
    </w:p>
    <w:p>
      <w:r>
        <w:t>GE Cour de justice, 2025-04-02, FR</w:t>
      </w:r>
    </w:p>
    <w:p>
      <w:r>
        <w:rPr>
          <w:b/>
        </w:rPr>
        <w:t xml:space="preserve">Quelle: </w:t>
      </w:r>
      <w:r>
        <w:t>https://mcp.opencaselaw.ch/entscheid/ge_gerichte_ACPR_454_2025</w:t>
      </w:r>
    </w:p>
    <w:p>
      <w:r>
        <w:t>FR: GE_GERICHTE ACPR/454/2025 du 2 avril 2025</w:t>
      </w:r>
    </w:p>
    <w:p>
      <w:r>
        <w:t>IT: GE_GERICHTE ACPR/454/2025 del 2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t>- 8/15 - P/12561/2024</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se plaignent d'une constatation inexacte des faits.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Les recourants contestent la réalisation des conditions du classement.</w:t>
      </w:r>
    </w:p>
    <w:p>
      <w:r>
        <w:rPr>
          <w:b/>
        </w:rPr>
        <w:t>E. 4.1</w:t>
      </w:r>
    </w:p>
    <w:p>
      <w:r>
        <w:t>En application de l'art. 319 al. 1 let. b CPP, le Ministère public ordonne le classement de tout ou partie de la procédure lorsque les éléments constitutifs d'une infraction ne sont pas réunis. Cette disposition doit être appliquée conformément à l'adage "in dubio pro duriore", qui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w:t>
      </w:r>
    </w:p>
    <w:p>
      <w:r>
        <w:rPr>
          <w:b/>
        </w:rPr>
        <w:t>E. 4.2</w:t>
      </w:r>
    </w:p>
    <w:p>
      <w:r>
        <w:t>L'art. 125 al. 1 CP réprime, sur plainte,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4.3</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- 9/15 - P/12561/2024</w:t>
      </w:r>
    </w:p>
    <w:p>
      <w:r>
        <w:rPr>
          <w:b/>
        </w:rPr>
        <w:t>E. 4.3.1</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L'attention et la diligence requises sont d'autant plus élevées que le degré de spécialisation de l'auteur est important (ATF 138 IV 124 consid. 4.4.5). Lorsque des prescriptions légales ou administratives imposent un comportement déterminé pour assurer la sécurité et prévenir les accidents, ou lorsque des règles analogues émanant d'associations spécialisées sont généralement reconnues, leur violation fait présumer la violation du devoir général de prudence. Dans le domaine du trafic routier, il convient de se référer aux règles de la circulation routière (ATF 122 IV 133 consid. 2a). En second lieu, la violation du devoir de prudence doit être fautive, c'est-à-dire qu'il faut pouvoir reprocher à l'auteur une inattention ou un manque d'effort blâmable (ATF 145 IV 154 consid. 2.1).</w:t>
      </w:r>
    </w:p>
    <w:p>
      <w:r>
        <w:rPr>
          <w:b/>
        </w:rPr>
        <w:t>E. 4.3.2</w:t>
      </w:r>
    </w:p>
    <w:p>
      <w:r>
        <w:t>Selon l'art. 26 al. 1 LCR,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Seul celui qui s'est comporté réglementairement peut invoquer le principe de la confiance. Celui qui viole des règles de la circulation et crée ainsi une situation confuse ou dangereuse ne peut pas attendre des autres qu'ils parent à ce danger par une attention accrue (ATF 143 IV 500 consid. 1.2.4). Le conducteur est fondé à croire que le piéton se conformera à son devoir de prudence qui commande d'observer et d'attendre. Cependant, en présence d'indices concrets d'un comportement incorrect du piéton, reconnaissables pour celui qui fait preuve de l'attention requise, le conducteur doit faire tout son possible pour éviter une collision (ATF 129 IV 39 consid. 2.2). Si le piéton commet une faute qui pourrait créer un risque d'accident, le conducteur devra faire tout son possible pour que le dommage ne se</w:t>
      </w:r>
    </w:p>
    <w:p>
      <w:r>
        <w:t>- 10/15 - P/12561/2024 produise pas, que ce soit grâce au freinage, à une manœuvre d'évitement ou à un avertissement. Si la collision est inévitable, il doit réagir immédiatement en faisant en sorte que le danger pour la vie et l'intégrité corporelle soit, sinon exclu, à tout le moins diminué (ATF 115 II 283 consid. 1a).</w:t>
      </w:r>
    </w:p>
    <w:p>
      <w:r>
        <w:rPr>
          <w:b/>
        </w:rPr>
        <w:t>E. 4.3.3</w:t>
      </w:r>
    </w:p>
    <w:p>
      <w:r>
        <w:t>Au sens de l'art. 27 al. 1 LCR, chacun se conformera aux signaux. L'art. 68 al. 2 de l'ordonnance sur la signalisation routière (OSR – RS 741.21) indique que le feu vert signifie route libre. Si les feux lumineux ne déchargent pas l'usager de toute obligation de prudence, celui-ci peut néanmoins accorder une confiance accrue à cet indicateur et, si le feu est vert, il ne doit en principe pas encore vérifier que la voie est effectivement libre (arrêt du Tribunal fédéral 6P_148/2006 du 24 novembre 2006 consid. 7.2.1). L'art. 68 al. 7 OSR prévoit que les piétons ne peuvent emprunter la chaussée que si le feu qui leur est réservé est vert. Si le feu rouge s'allume sans transition, les piétons se trouvant déjà sur la chaussée doivent la quitter sans délai.</w:t>
      </w:r>
    </w:p>
    <w:p>
      <w:r>
        <w:rPr>
          <w:b/>
        </w:rPr>
        <w:t>E. 4.3.4</w:t>
      </w:r>
    </w:p>
    <w:p>
      <w:r>
        <w:t>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ladite attention s'apprécie au regard des circonstances d'espèce, telles que la densité du trafic, la configuration des lieux, l'heure, la visibilité et les sources de danger prévisibles (ATF 137 IV 290 consid. 3.6). Concernant la visibilité, le conducteur doit embrasser du regard toute la chaussée et non pas seulement ce qui se passe directement devant lui sur l'espace de route correspondant à la longueur de sa voiture (Y. JEANNERET / A. KUHN / C. MIZEL / O. RISKE, Code suisse de la circulation routière commenté, 5ème éd. 2024, n. 2.4.1 ad art. 31 LCR).</w:t>
      </w:r>
    </w:p>
    <w:p>
      <w:r>
        <w:rPr>
          <w:b/>
        </w:rPr>
        <w:t>E. 4.3.5</w:t>
      </w:r>
    </w:p>
    <w:p>
      <w:r>
        <w:t>À teneur de l'art. 32 al. 1 LCR, la vitesse doit toujours être adaptée aux circonstances, notamment aux particularités du véhicule et du chargement, ainsi qu'aux conditions de la route, de la circulation et de la visibilité. Une vitesse n'est pas nécessairement inadaptée parce qu'il n'a pas été possible de s'arrêter avant un obstacle. Ce qui compte, c'est de savoir si le conducteur a réglé sa vitesse de façon à pouvoir s'arrêter sur l'espace qu'il a reconnu libre, c'est-à-dire sur l'espace où il ne voit aucun obstacle et où il ne doit pas s'attendre à en voir surgir un (ATF 103 IV 41 consid. 4).</w:t>
      </w:r>
    </w:p>
    <w:p>
      <w:r>
        <w:rPr>
          <w:b/>
        </w:rPr>
        <w:t>E. 4.3.6</w:t>
      </w:r>
    </w:p>
    <w:p>
      <w:r>
        <w:t>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L'art. 33 LCR ne concerne pas les passages commandés par des signaux lumineux à feux changeants (art. 1 al. 9 et 6 al. 2 OCR ; ATF 92 IV 210 consid. 2). Les signaux lumineux priment les règles générales de priorité, les signaux de priorité et les marques routières (art. 27 al. 1 LCR et 68 al. 1 OSR). Ainsi, le conducteur n'est pas tenu</w:t>
      </w:r>
    </w:p>
    <w:p>
      <w:r>
        <w:t>- 11/15 - P/12561/2024 d'adopter une allure modérée compatible avec une priorité du piéton, tant que les feux sont verts pour le véhicule. Aussi longtemps que le feu demeure vert, il n'a pas à tenir compte des passages pour piétons – dont la sécurité est suffisamment garantie par les feux (ATF 92 IV 210 consid. 2). Si néanmoins le piéton entre dans le passage, tout ce que l'on peut demander au conducteur, c'est qu'il réagisse de façon adaptée aux circonstances pour chercher à éviter l'accident (ATF 95 II 184 consid. 4).</w:t>
      </w:r>
    </w:p>
    <w:p>
      <w:r>
        <w:rPr>
          <w:b/>
        </w:rPr>
        <w:t>E. 4.4</w:t>
      </w:r>
    </w:p>
    <w:p>
      <w:r>
        <w:t>Un rapport de causalité entre la violation fautive du devoir de prudence et les lésions de la victime doit également exister.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w:t>
      </w:r>
    </w:p>
    <w:p>
      <w:r>
        <w:rPr>
          <w:b/>
        </w:rPr>
        <w:t>E. 4.5</w:t>
      </w:r>
    </w:p>
    <w:p>
      <w:r>
        <w:t>En l'espèce, rien ne permet de conclure que le mis en cause aurait violé les règles de la prudence en matière de circulation routière. La version du prévenu, selon laquelle il aurait circulé à l’intersection boulevard Helvétique – cours de Rive alors que le feu de signalisation était au vert, est corroborée par le témoignage de sa passagère, mais aussi par une piétonne qui s'apprêtait à emprunter le même passage pour piétons que les plaignants, les rapports de police ainsi que les images de vidéosurveillance. Il en ressort en particulier que d'autres véhicules ont franchi le feu à la suite du prévenu, et qu'un piéton attendait à cet endroit sur le côté droit de la chaussée du feu de signalisation franchi par le prévenu. De plus, dans la mesure où le passage pour piétons était régulé par un feu de signalisation, il n'était pas attendu de lui qu'il ralentît ou s'arrêtât afin de céder la priorité aux plaignants, surtout car les conditions routières ne commandaient pas de telles mesures de précaution. Le prévenu semble au demeurant avoir été suffisamment attentif à l'approche dudit passage, alléguant, sans pouvoir être contredit, avoir regardé la route et aperçu, à gauche, une piétonne sur l'îlot central et, à droite, des personnes longeant la rue sans la traverser. En outre, il n'apparaît pas que la vitesse du conducteur, limitée à 50km/h sur le tronçon en cause, aurait été excessive ou inadaptée avant le choc. Ce dernier a estimé sa vitesse à "12km/h environ". Ses dires sont corroborés par les auditions des deux témoins, qui ont estimé qu'il ne circulait pas vite, et par les images de vidéosurveillance, lesquelles le montrent roulant à faible allure.</w:t>
      </w:r>
    </w:p>
    <w:p>
      <w:r>
        <w:t>- 12/15 - P/12561/2024 En tout état, la question de la violation fautive d'une règle de prudence – au demeurant douteuse – par le conducteur peut être laissée indécise, dès lors qu'il apparait que le comportement des victimes a joué un rôle prépondérant dans l'accident qui s'est produit. Il est ainsi nécessaire de déterminer si un automobiliste se conformant aux règles de la prudence devait s'attendre à ce que les intéressés se trouvent soudainement sur le passage pour piétons, et qu'il eût pu de la sorte éviter la collision, sur un tronçon rectiligne, de jour, dans de bonnes conditions météorologiques et à proximité de locaux commerciaux. En elle-même, la présence de piétons au bord de la chaussée, en ville, n'a rien de surprenant. Toutefois, F______ a déclaré que les recourants s'étaient engagés sur le passage pour piétons alors que leur feu de signalisation était au rouge. Aucun élément au dossier ne permet de mettre en doute sa crédibilité, étant relevé qu'elle n'avait aucun lien avec les protagonistes impliqués dans l'accident. Ses déclarations précises et circonstanciées sont corroborées par les allégations du prévenu selon lesquelles une piétonne attendait, sur sa gauche, sur l'îlot central. De plus, l'absence de traces de freinage et de klaxon du véhicule en cause, selon le rapport de police du 21 novembre 2023, est de nature à corroborer la survenance inopinée des deux plaignants. Le prévenu ne semble ainsi pas avoir été en mesure d'effectuer une quelconque manœuvre d'évitement. La témoin-piéton a d'ailleurs indiqué qu'il n'y avait eu "qu'une fraction de seconde entre le moment où les piétons s’étaient engagés sur la chaussée et celui où ils avaient été percutés". En outre, la recourante a admis avoir fait confiance à son époux au moment de traverser le passage pour piétons et le recourant a reconnu ne pas avoir regardé le feu de signalisation, respectivement la couleur du signal lumineux avant d'emprunter ledit passage, alors que tous deux connaissaient ce chemin pour l'avoir emprunté à de nombreuses reprises. Ces comportements des plaignants sont constitutifs de violations des règles de prudence applicables en matière de circulation routière, de telle manière qu'ils ne sauraient exiger du mis en cause qu'il parât au danger ainsi créé. Il s'ensuit que, même en présence d'une violation fautive d'une règle de prudence par le mis en cause, le comportement des recourants était non seulement fautif mais également prépondérant, de telle manière qu'il semble s'imposer comme la cause la plus probable et la plus immédiate de l'évènement considéré. Aucune des mesures d'instruction qu'ils sollicitent ne permettrait d'aboutir à un constat différent. Le rapport de coordination des feux de la DGT n'amènerait aucun élément supplémentaire quant à la couleur des signalisations lumineuses, cette dernière ayant déjà été suffisamment établie par d'autres éléments du dossier, tels que les versions concordantes de plusieurs personnes, les rapports de police et les images de</w:t>
      </w:r>
    </w:p>
    <w:p>
      <w:r>
        <w:t>- 13/15 - P/12561/2024 vidéosurveillance. On ne voit pas en quoi l'audition d'autres témoins – pour peu qu'ils existent étant donné que le dossier ne fait état d'aucun appel téléphonique aux centrales d'urgence et que F______ a été la seule à demeurer sur place lorsque la police a demandé aux témoins de rester – serait utile à l'enquête, celle-là ayant été un témoin direct des faits en se trouvant à proximité de l'accident. Il en va de même pour l'expertise technique de circulation, le dossier comportant suffisamment d'éléments matériels établissant de manière satisfaisante les circonstances de l'accident, soit notamment les rapports de police, les clichés des lieux pris le jour même et le croquis de l'accident. Partant, les faits ont été suffisamment instruits pour exclure la réalisation des éléments constitutifs de l'infraction de lésions corporelles par négligence (art. 125 CP). Le Ministère public était dès lors fondé à ne pas donner suite aux réquisitions de preuve et à classer la procédure sur la base de l'art. 319 al. 1 let. b CPP.</w:t>
      </w:r>
    </w:p>
    <w:p>
      <w:r>
        <w:rPr>
          <w:b/>
        </w:rPr>
        <w:t>E. 5</w:t>
      </w:r>
    </w:p>
    <w:p>
      <w:r>
        <w:t>Justifiée, l'ordonnance querellée sera donc confirmée.</w:t>
      </w:r>
    </w:p>
    <w:p>
      <w:r>
        <w:rPr>
          <w:b/>
        </w:rPr>
        <w:t>E. 6</w:t>
      </w:r>
    </w:p>
    <w:p>
      <w:r>
        <w:t>Les recourants, qui succombent, supporteront les frais envers l'État, qui seront fixés en totalité à CHF 1'200.- (art. 428 al. 1 CPP et 13 al. 1 du Règlement fixant le tarif des frais en matière pénale, RTFMP ; E 4 10.03).</w:t>
      </w:r>
    </w:p>
    <w:p>
      <w:r>
        <w:rPr>
          <w:b/>
        </w:rPr>
        <w:t>E. 7</w:t>
      </w:r>
    </w:p>
    <w:p>
      <w:r>
        <w:t>Corrélativement, aucun dépens ne leur sera alloué (ATF 144 IV 207 consid. 1.8.2). * * * * *</w:t>
      </w:r>
    </w:p>
    <w:p>
      <w:r>
        <w:t>- 14/15 - P/12561/2024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