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ACPR/451/2019 vom 22. März 2019</w:t>
      </w:r>
    </w:p>
    <w:p>
      <w:r>
        <w:t>GE Cour de justice, 2019-03-22, FR</w:t>
      </w:r>
    </w:p>
    <w:p>
      <w:r>
        <w:rPr>
          <w:b/>
        </w:rPr>
        <w:t xml:space="preserve">Quelle: </w:t>
      </w:r>
      <w:r>
        <w:t>https://mcp.opencaselaw.ch/entscheid/ge_gerichte_ACPR_451_2019</w:t>
      </w:r>
    </w:p>
    <w:p>
      <w:r>
        <w:t>FR: GE_GERICHTE ACPR/451/2019 du 22 mars 2019</w:t>
      </w:r>
    </w:p>
    <w:p>
      <w:r>
        <w:t>IT: GE_GERICHTE ACPR/451/2019 del 22 marzo 2019</w:t>
      </w:r>
    </w:p>
    <w:p>
      <w:pPr>
        <w:pStyle w:val="Heading2"/>
      </w:pPr>
      <w:r>
        <w:t>Erwägungen</w:t>
      </w:r>
    </w:p>
    <w:p>
      <w:r>
        <w:rPr>
          <w:b/>
        </w:rPr>
        <w:t>E. 1</w:t>
      </w:r>
    </w:p>
    <w:p>
      <w:r>
        <w:t>Le recours est recevable pour avoir été déposé selon la forme et dans le délai prescrits (art. 385 et 396 CPP), concerner une décision sujette à recours auprès de la Chambre de céans (art. 393 al. 1 let. a CPP) et émaner du tiers propriétaire du bien séquestré, lui conférant ainsi la qualité pour agir (art. 105 al. 1 let. f et al. 2 CPP), pour avoir un intérêt juridiquement protégé à la modification ou à l'annulation de cette décision (art. 382 al. 1 CPP).</w:t>
      </w:r>
    </w:p>
    <w:p>
      <w:r>
        <w:rPr>
          <w:b/>
        </w:rPr>
        <w:t>E. 2</w:t>
      </w:r>
    </w:p>
    <w:p>
      <w:r>
        <w:t>La recourante se plaint implicitement d'une violation de l'art. 263 CPP.</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du séquestre (A. KUHN/Y. JEANNERET (éds), Code de procédure pénale suisse, n. 17, 22 et 25 ad art. 263). Autrement dit, les probabilités d'une confiscation, respectivement du prononcé d'une créance compensatrice, doivent se renforcer au cours de l'instruction et être régulièrement vérifiées par l'autorité compétente, avec une plus grande rigueur à mesure que</w:t>
      </w:r>
    </w:p>
    <w:p>
      <w:r>
        <w:t>- 5/8 - P/10294/2013 l'enquête progresse (ATF 122 IV 91 consid. 4 p. 96; arrêt du Tribunal fédéral 1B_416/2012 du 30 octobre 2012 consid. 2.1).</w:t>
      </w:r>
    </w:p>
    <w:p>
      <w:r>
        <w:rPr>
          <w:b/>
        </w:rPr>
        <w:t>E. 2.2</w:t>
      </w:r>
    </w:p>
    <w:p>
      <w:r>
        <w:t>En l'espèce, il est vrai, comme le souligne la recourante, que le Ministère public ne s'est avisé de séquestrer sa part de copropriété qu'après plus de 4 ans d'investigations, et après seulement qu'il eut été requis d'autoriser la vente de gré à gré de la part de copropriété du prévenu, séquestrée depuis 2014. Dans son interpellation du J______ – concomitante, et non antérieure, à la décision querellée –, le Ministère public a demandé toutes les pièces justificatives des transferts ordonnés par G______ SA entre 2004 et 2012. Il en ressort que la première bonification remonte au 24 février 2006 (PP 214'141). Il n'est donc pas possible que l'argent de G______ SA soit à l'origine des fonds propres mentionnés sur l'acte de vente du 26 mars 2004. Le Ministère public n'a pas détaillé, en termes de dates et de montants, quels seraient les transferts douteux en provenance de l'autre société qu'il cite dans ses observations. Par ailleurs, la Caisse d'allocations familiales ne peut pas être soupçonnée de paiements illicites au prévenu ou à la recourante, et une escroquerie aux prestations sociales (art. 146 ou 148a CP, voire 87 LAVS) n'apparaît pas avoir été reprochée à l'un ou à l'autre. Il n'a donc pas été établi de lien de connexité entre l'acquisition de la part de copropriété de la recourante et les surfacturations reprochées par les sociétés dont le prévenu était l'animateur, administrateur ou salarié. L'infraction doit, en effet, être la cause essentielle, respectivement adéquate, de l'obtention des valeurs patrimoniales, et celles-ci doivent typiquement provenir de l'infraction en cause (ATF 144 IV 1 consid. 4.2.1 p. 7; 141 IV 155 consid. 4.1 p. 162 et les références citées).</w:t>
      </w:r>
    </w:p>
    <w:p>
      <w:r>
        <w:rPr>
          <w:b/>
        </w:rPr>
        <w:t>E. 2.3</w:t>
      </w:r>
    </w:p>
    <w:p>
      <w:r>
        <w:t>Reste la possibilité d'un séquestre en vue de garantir le paiement d'une créance compensatrice (art. 71 al. 3 CP). Une créance compensatrice ne peut être ordonnée contre un tiers que dans la mesure où les conditions prévues à l'art. 70 al. 2 CP ne sont pas réalisées (art. 71 al. 1 in fine CP). Pour qu'un séquestre puisse être refusé à ce stade de la procédure en application de l'art. 70 al. 2 CP, il faut qu'une confiscation soit d'emblée et indubitablement exclue, respectivement que la bonne foi du tiers soit clairement et définitivement établie (arrêt du Tribunal fédéral 1B_166/2008 du 17 décembre 2008 consid. 4.3). La recourante, qui est un tiers saisi, n'a nullement justifié avoir financé sur ses propres deniers l'acquisition de sa part de copropriété. Au contraire, elle se prévaut uniquement de la valeur économique de son travail ménager au profit de l'ensemble de la famille, ce qui paraît renvoyer à la notion de contre-prestation, au sens de l'art. 70 al. 2 CP. Encore faut-il, selon le texte même de cette disposition légale, que la recourante ait été de bonne foi, et sa contre-prestation adéquate. Le tiers qui se prétend de bonne foi doit collaborer à l'établissement des faits sur ce point et, en particulier fournir les explications nécessaires, faute de quoi il peut être</w:t>
      </w:r>
    </w:p>
    <w:p>
      <w:r>
        <w:t>- 6/8 - P/10294/2013 amené à subir les conséquences de l'absence d'éléments probants (arrêt du Tribunal fédéral 6B_595/2014 du 13 mai 2015 consid. 2.5). Par ailleurs, la contre-prestation n'est pas considérée comme adéquate lorsque les valeurs patrimoniales lui ont été remises à titre gratuit (arrêt du Tribunal fédéral 1B_71/2014 du 1er juillet 2014 consid. 5.1 et la référence citée). Sous ces aspects, le séquestre attaqué ne prête pas le flanc à la critique. La question de savoir si une confiscation ultérieure de la part de copropriété de la recourante se révélerait d'une rigueur excessive (art. 70 al. 2 in fine CP) se posera, le cas échéant, au juge du fond. Cette clause n'a qu'une portée limitée; il ne suffit pas que la mesure de confiscation à l'égard du tiers soit disproportionnée : à teneur du texte légal, il faut que la mesure le frappe de manière particulièrement incisive dans sa situation économique (arrêt du Tribunal fédéral 6B_664/2014 du 22 février 2018 consid. 8.3. et la référence). Sous l'angle, pertinent à ce stade, du principe de la proportionnalité (art. 197 let. c CPP), la décision du Ministère public ne prive pas la recourante du revenu du loyer (si tant est que celui-ci, sur lequel elle ne donne pas non plus d'explication, soit à sa libre disposition) ni d'un logement, puisque, précisément, l'appartement n'est pas occupé par la recourante ou sa famille, mais loué. Pour le surplus, la perspective et les conditions d'une vente forcée par l'Office des poursuites ne relèvent pas du juge pénal, tout comme l'éventuelle suppression, qu'elle entraînerait, des revenus du loyer.</w:t>
      </w:r>
    </w:p>
    <w:p>
      <w:r>
        <w:rPr>
          <w:b/>
        </w:rPr>
        <w:t>E. 3</w:t>
      </w:r>
    </w:p>
    <w:p>
      <w:r>
        <w:t>La recourante, qui succombe, supportera les frais envers l'État, comprenant un émolument de CHF 900.- (art. 428 al. 1 CPP et 13 al. 1 du Règlement fixant le tarif des frais en matière pénale, RTFMP; E 4 10.03).</w:t>
      </w:r>
    </w:p>
    <w:p>
      <w:r>
        <w:rPr>
          <w:b/>
        </w:rPr>
        <w:t>E. 4</w:t>
      </w:r>
    </w:p>
    <w:p>
      <w:r>
        <w:t>Elle n'a pas droit à la désignation d'un défenseur d'office, car sa cause était dénuée de chances de succès. En effet,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 * * * *</w:t>
      </w:r>
    </w:p>
    <w:p>
      <w:r>
        <w:t>- 7/8 - P/10294/2013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