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ACPR/448/2024 vom 14. Mai 2024</w:t>
      </w:r>
    </w:p>
    <w:p>
      <w:r>
        <w:t>GE Cour de justice, 2024-05-14, FR</w:t>
      </w:r>
    </w:p>
    <w:p>
      <w:r>
        <w:rPr>
          <w:b/>
        </w:rPr>
        <w:t xml:space="preserve">Quelle: </w:t>
      </w:r>
      <w:r>
        <w:t>https://mcp.opencaselaw.ch/entscheid/ge_gerichte_ACPR_448_2024</w:t>
      </w:r>
    </w:p>
    <w:p>
      <w:r>
        <w:t>FR: GE_GERICHTE ACPR/448/2024 du 14 mai 2024</w:t>
      </w:r>
    </w:p>
    <w:p>
      <w:r>
        <w:t>IT: GE_GERICHTE ACPR/448/2024 del 14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- 6/10 - P/11641/2024</w:t>
      </w:r>
    </w:p>
    <w:p>
      <w:r>
        <w:rPr>
          <w:b/>
        </w:rPr>
        <w:t>E. 2</w:t>
      </w:r>
    </w:p>
    <w:p>
      <w:r>
        <w:t>Le recourant estime que les charges de tentative de meurtre ne sont pas suffisantes à justifier son maintien en détention.</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contrairement à ce que soutient le recourant, les charges ne reposent pas sur les seules déclarations de D______, mais également sur celles de E______. Les premiers éléments médicaux permettent de corroborer, en l’état, le récit des événements fait par les précités, à tout le moins s'agissant du coup au visage et du coup de couteau dans le dos. Les charges d'infractions relatives à l'intégrité corporelle sont ainsi suffisantes. Elles sont, en outre – indépendamment des qualifications juridiques qui seront retenues par le juge du fond – manifestement graves, s'agissant notamment d'actes de violence commis avec un couteau.</w:t>
      </w:r>
    </w:p>
    <w:p>
      <w:r>
        <w:rPr>
          <w:b/>
        </w:rPr>
        <w:t>E. 3</w:t>
      </w:r>
    </w:p>
    <w:p>
      <w:r>
        <w:t>Le recourant conteste le risque de collusion.</w:t>
      </w:r>
    </w:p>
    <w:p>
      <w:r>
        <w:rPr>
          <w:b/>
        </w:rPr>
        <w:t>E. 3.1</w:t>
      </w:r>
    </w:p>
    <w:p>
      <w:r>
        <w:t>Selon l'art. 221 al. 1 let. b CPP, la détention provisoire ne peut être ordonnée que lorsqu'il y a sérieusement lieu de craindre que le prévenu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w:t>
      </w:r>
    </w:p>
    <w:p>
      <w:r>
        <w:t>- 7/10 - P/11641/2024 précision, plus les exigences relatives à la preuve de l'existence d'un risque de collusion sont élevées (ATF 137 IV 122 consid. 4.2; 132 I 21 consid. 3.2; arrêt du Tribunal fédéral 1B_577/2020 du 2 décembre 2020 consid. 3.1).</w:t>
      </w:r>
    </w:p>
    <w:p>
      <w:r>
        <w:rPr>
          <w:b/>
        </w:rPr>
        <w:t>E. 3.2</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alinéa 2 est exemplative et le juge de la détention peut également, le cas échéant, assortir les mesures de substitution de toute condition propre à en garantir l'efficacité (ATF 145 IV 503 consid. 3.1).</w:t>
      </w:r>
    </w:p>
    <w:p>
      <w:r>
        <w:rPr>
          <w:b/>
        </w:rPr>
        <w:t>E. 3.3</w:t>
      </w:r>
    </w:p>
    <w:p>
      <w:r>
        <w:t>En l'espèce, le TMC a retenu un risque de collusion à l'égard des parties plaignantes. Contrairement à ce que soutient le recourant, un tel risque de collusion est bien concret, en particulier à cette phase de l'instruction qui ne fait que débuter. Le recourant est proche à tout le moins de E______, dont il dit qu'elle est "son amie". En outre, selon celle-ci, il connaîtrait également D______. Les précités mettent en cause le recourant. Or, ce dernier conteste en grande partie les faits reprochés et aucune audience de confrontation n'a encore eu lieu. Dans ce contexte, le risque existe que le recourant – s'il était remis en liberté – reprenne contact avec les plaignants et cherche à les influencer pour qu'ils modifient leurs dépositions en sa faveur, au vu des infractions graves qui lui sont reprochées. La mesure de substitution suggérée par le recourant, sous la forme d'une interdiction de contacter les parties plaignantes et d'éventuels témoins ne serait pas de nature à pallier ce risque. Une telle mesure qui ne reposerait que sur la volonté (alléguée) du recourant paraît en outre difficilement contrôlable.</w:t>
      </w:r>
    </w:p>
    <w:p>
      <w:r>
        <w:rPr>
          <w:b/>
        </w:rPr>
        <w:t>E. 4</w:t>
      </w:r>
    </w:p>
    <w:p>
      <w:r>
        <w:t>Ce qui précède rend superflu l’examen des risques de fuite et de réitération (arrêt du Tribunal fédéral 1B_51/2021 du 31 mars 2021 consid. 3.1. et les références) et d'éventuelles mesures de substitution s'y rapportant.</w:t>
      </w:r>
    </w:p>
    <w:p>
      <w:r>
        <w:rPr>
          <w:b/>
        </w:rPr>
        <w:t>E. 5</w:t>
      </w:r>
    </w:p>
    <w:p>
      <w:r>
        <w:t>Le recourant considère que la prolongation de la détention provisoire, pour trois mois, est excessive et devrait être ramenée à un mois.</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w:t>
      </w:r>
    </w:p>
    <w:p>
      <w:r>
        <w:t>- 8/10 - P/11641/2024 16 janvier 2013 consid. 2, 1B_624/2011 du 29 novembre 2011 consid. 3.1 et 1B_9/2011 du 7 février 2011 consid. 7.2).</w:t>
      </w:r>
    </w:p>
    <w:p>
      <w:r>
        <w:rPr>
          <w:b/>
        </w:rPr>
        <w:t>E. 5.2</w:t>
      </w:r>
    </w:p>
    <w:p>
      <w:r>
        <w:t>En l'occurrence, les infractions reprochées au recourant sont graves et la peine qu'il encourt concrètement – si les faits devaient être retenus par l'autorité de jugement – dépasse largement la durée de la détention provisoire subie à ce jour et à l'échéance fixée.</w:t>
      </w:r>
    </w:p>
    <w:p>
      <w:r>
        <w:rPr>
          <w:b/>
        </w:rPr>
        <w:t>E. 6</w:t>
      </w:r>
    </w:p>
    <w:p>
      <w:r>
        <w:t>Le recours s'avère ainsi infondé et doit être rejeté.</w:t>
      </w:r>
    </w:p>
    <w:p>
      <w:r>
        <w:rPr>
          <w:b/>
        </w:rPr>
        <w:t>E. 7</w:t>
      </w:r>
    </w:p>
    <w:p>
      <w:r>
        <w:t>Le recourant, qui succombe, supportera les frais envers l'État, comprenant un émolument de jugement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malgré l'issue du recours, un premier contrôle des charges par l'autorité de recours pouvait se justifier en début de détention. L'indemnité du défenseur d'office sera fixée à la fin de la procédure (art. 135 al. 2 CPP). * * * * *</w:t>
      </w:r>
    </w:p>
    <w:p>
      <w:r>
        <w:t>- 9/10 - P/11641/2024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