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ACPR/442/2021 vom 4. März 2021</w:t>
      </w:r>
    </w:p>
    <w:p>
      <w:r>
        <w:t>GE Cour de justice, 2021-03-04, FR</w:t>
      </w:r>
    </w:p>
    <w:p>
      <w:r>
        <w:rPr>
          <w:b/>
        </w:rPr>
        <w:t xml:space="preserve">Quelle: </w:t>
      </w:r>
      <w:r>
        <w:t>https://mcp.opencaselaw.ch/entscheid/ge_gerichte_ACPR_442_2021</w:t>
      </w:r>
    </w:p>
    <w:p>
      <w:r>
        <w:t>FR: GE_GERICHTE ACPR/442/2021 du 4 mars 2021</w:t>
      </w:r>
    </w:p>
    <w:p>
      <w:r>
        <w:t>IT: GE_GERICHTE ACPR/442/2021 del 4 marzo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w:t>
      </w:r>
    </w:p>
    <w:p>
      <w:r>
        <w:rPr>
          <w:b/>
        </w:rPr>
        <w:t>E. 1.2</w:t>
      </w:r>
    </w:p>
    <w:p>
      <w:r>
        <w:t>L'intéressé ne précise pas formellement, dans son acte, agir pour le compte de D______ (art. 30 al. 2 CP), seul titulaire du bien juridiquement protégé par les dispositions en cause (art. 126 et 180 CP). L'on retiendra toutefois que tel est le cas, vu l'ACPR/355/2020 et l'issue du recours. En conséquence, le recourant dispose de la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 arrêt du Tribunal fédéral 1B_524/2012 du 15 novembre 2012 consid. 2.1.), les éventuelles constatations incomplètes ou inexactes du Ministère public auront été corrigées dans l’état de fait établi ci-devant.</w:t>
      </w:r>
    </w:p>
    <w:p>
      <w:r>
        <w:rPr>
          <w:b/>
        </w:rPr>
        <w:t>E. 4</w:t>
      </w:r>
    </w:p>
    <w:p>
      <w:r>
        <w:t>Le recourant reproche au Ministère public d’avoir classé sa plainte.</w:t>
      </w:r>
    </w:p>
    <w:p>
      <w:r>
        <w:rPr>
          <w:b/>
        </w:rPr>
        <w:t>E. 4.1</w:t>
      </w:r>
    </w:p>
    <w:p>
      <w:r>
        <w:t>Le ministère public peut classer la procédure lorsque l'on peut renoncer à toute poursuite ou à toute sanction en vertu de dispositions légales (art. 319 al. 1 let. e CPP). Cette disposition vise notamment l’art. 52 CP, qui permet de renoncer à poursuivre l'auteur d'une infraction si sa culpabilité et si les conséquences de son acte apparaissent peu importantes, ces conditions étant cumulatives (M. NIGGLI / H. WIPRÄCHTIGER (éds), Basler Kommentar, Strafrecht I, 4ème éd., 2019, n. 15 ad. art. 52). Si les conditions indiquées à l'art. 52 CP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w:t>
      </w:r>
    </w:p>
    <w:p>
      <w:r>
        <w:t>- 7/10 - P/10305/2019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w:t>
      </w:r>
    </w:p>
    <w:p>
      <w:r>
        <w:rPr>
          <w:b/>
        </w:rPr>
        <w:t>E. 4.2</w:t>
      </w:r>
    </w:p>
    <w:p>
      <w:r>
        <w:t>Une décision n'est pas arbitraire du seul fait qu'elle apparaît discutable ou même critiquable ; il faut qu'elle soit manifestement insoutenable, et cela non seulement dans sa motivation mais aussi dans son résultat (ATF 145 IV 154 consid. 1.1; arrêt du Tribunal fédéral 1B_118/2020 du 27 juillet 2020 consid. 3.1).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rPr>
          <w:b/>
        </w:rPr>
        <w:t>E. 4.3</w:t>
      </w:r>
    </w:p>
    <w:p>
      <w:r>
        <w:t>En l’espèce, le recourant reproche au Ministère public de ne pas avoir pris en compte certains éléments pouvant influer sur l’appréciation de la culpabilité du prévenu. Il ressort du dossier que les versions des parties sont contradictoires. Le témoin direct n'a pas confirmé d'autres faits que ceux déjà reconnus par le prévenu. Il n'apparait donc pas utile d'investiguer davantage, ce d'autant que, plus de deux ans après les faits, l'on ne pourrait savoir ce qui a été dit, de manière fiable, lors de l'altercation. Les réquisitions de preuves formulées par le recourant ne sont pas non plus propres à modifier ce résultat. En effet, le prévenu a d'ores et déjà été entendu contradictoirement, de sorte qu'il persisterait vraisemblablement dans sa version. Il n'a d'ailleurs pas fait état de consignes qu'il aurait reçues, ayant pu dicter son comportement. Les autres réquisitions de preuve formulées par le recourant se rapportent essentiellement à sa conviction selon laquelle le DIP et l'école F______ auraient participé à l'agression dont son fils avait été victime. Elles ne sont donc pas pertinentes en l’occurrence.</w:t>
      </w:r>
    </w:p>
    <w:p>
      <w:r>
        <w:t>- 8/10 - P/10305/2019 C'est donc à bon droit que le Ministère public a rejeté les réquisitions de preuve et, sans arbitraire, qu'il a retenu que le prévenu avait admis avoir saisi D______ par le col et lui avait demandé de cesser d'importuner son fils. Cela étant, la culpabilité du mis en cause doit être relativisée, eu égard au contexte dans lequel les faits se sont déroulés, soit un différend entre jeunes écoliers au sujet d’une clé USB. Les actes imputés au mis en cause dans ce cadre relèvent plus du geste d'humeur que d'une agression, comme le prétend le recourant. Sa faute, en lien avec les éventuelles menaces et les voies de fait, apparaît dès lors, compte tenu de la dispute et du mobile, encore pouvoir relever de l'art. 52 CP. À cela s'ajoute que le mis en cause a immédiatement exprimé des regrets quant à son comportement, auprès des parents du jeune, de l’établissement scolaire et des enfants de la classe. Il a réitéré ses excuses par-devant le Ministère public, si bien qu'il est permis de penser que cet épisode restera unique. Enfin, les conséquences de l'acte doivent également être qualifiées de peu importantes. En effet, bien que l’attestation de suivi depuis le 29 avril 2020 produite mentionne que D______ rencontre des difficultés à suivre son cursus scolaire en raison de symptômes d’anxiété d’intensité sévère, il ne ressort pas de ce document que ceux-ci seraient liés aux évènements du 13 février 2019. En effet, le jeune semble, à teneur du dossier, avoir vécu plusieurs situations anxiogènes liées à son parcours scolaire, susceptibles de justifier un suivi, surtout qu'il a débuté plus de quatorze mois après les faits. Ainsi, il n’est pas établi que les faits reprochés soient à l’origine du suivi, ni qu’ils en soient la principale raison. L'ensemble de ces éléments permet de retenir que les réquisits de l'art. 319 al. 1 let. e cum 52 CP étaient remplis en l'espèce, de sorte que le Ministère public était fondé à classer les faits dénoncés par le recourant.</w:t>
      </w:r>
    </w:p>
    <w:p>
      <w:r>
        <w:rPr>
          <w:b/>
        </w:rPr>
        <w:t>E. 5</w:t>
      </w:r>
    </w:p>
    <w:p>
      <w:r>
        <w:t>Justifiée, l'ordonnance querellée sera donc confirmée.</w:t>
      </w:r>
    </w:p>
    <w:p>
      <w:r>
        <w:rPr>
          <w:b/>
        </w:rPr>
        <w:t>E. 6</w:t>
      </w:r>
    </w:p>
    <w:p>
      <w:r>
        <w:t>Le recourant, qui succombe, supportera les frais envers l'État, fixés en totalité à CHF 1’000.- (art. 428 al. 1 CPP et 13 al. 1 du Règlement fixant le tarif des frais en matière pénale, RTFMP ; E 4 10.03). * * * * *</w:t>
      </w:r>
    </w:p>
    <w:p>
      <w:r>
        <w:t>- 9/10 - P/10305/2019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