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ACPR/441/2026 vom 4. Mai 2026</w:t>
      </w:r>
    </w:p>
    <w:p>
      <w:r>
        <w:t>GE Cour de justice, 2026-05-04, FR</w:t>
      </w:r>
    </w:p>
    <w:p>
      <w:r>
        <w:rPr>
          <w:b/>
        </w:rPr>
        <w:t xml:space="preserve">Quelle: </w:t>
      </w:r>
      <w:r>
        <w:t>https://mcp.opencaselaw.ch/entscheid/ge_gerichte_ACPR_441_2026</w:t>
      </w:r>
    </w:p>
    <w:p>
      <w:r>
        <w:t>FR: GE_GERICHTE ACPR/441/2026 du 4 mai 2026</w:t>
      </w:r>
    </w:p>
    <w:p>
      <w:r>
        <w:t>IT: GE_GERICHTE ACPR/441/2026 del 4 maggio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t>- 4/6 - P/7755/2026</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d’ADN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2.3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 ci, mais il faudra tenir compte de cet élément dans la pesée d’intérêts à réaliser (ATF 145 IV 263 consid. 3.4; arrêts du Tribunal fédéral 7B_529/2025 du 26 janvier 2026 consid. 3.1.3; 1B_259/2022 précité consid. 4.3; 1B_230/2022 du 7 septembre 2022 consid. 2.2).</w:t>
      </w:r>
    </w:p>
    <w:p>
      <w:r>
        <w:rPr>
          <w:b/>
        </w:rPr>
        <w:t>E. 2.4</w:t>
      </w:r>
    </w:p>
    <w:p>
      <w:r>
        <w:t>En l'espèce, l'établissement du profil d'ADN du recourant a été ordonné pour élucider, non pas une infraction en cours d'instruction, mais d'autres infractions contre le patrimoine encore inconnues des autorités, dès lors qu'il avait été condamné à plusieurs reprises pour vol. Il sied donc de déterminer s'il existe des indices sérieux et concrets de la commission, par le recourant, de tels actes punissables. À cet égard, que ce soit dans l'ordonnance attaquée ou dans les observations formées par le Ministère public, on ne distingue aucun élément concret permettant de lier le</w:t>
      </w:r>
    </w:p>
    <w:p>
      <w:r>
        <w:t>- 5/6 - P/7755/2026 recourant à d'autres infractions contre le patrimoine que celles pour lesquelles il a été condamné entre décembre 2013 et novembre 2018. Le Ministère public ne fournit aucun renseignement à ce propos, notamment sur la nature de celles-ci. Au contraire, il ressort uniquement de ses observations que le recourant "pourrait être impliqué dans d'autre infractions contre le patrimoine, encore inconnues des autorités". L'extrait de casier judiciaire du recourant ne fait par ailleurs état d'aucune procédure en cours, hormis la présente qui porte uniquement sur une infraction contre l'autorité publique, soit une rupture de ban, et sa dernière condamnation pour des infractions contre le patrimoine remonte au 8 novembre 2018 (cf. en ce sens arrêts du Tribunal fédéral 7B_847/2025 du 23 mars 2026 consid. 3.4.2 et 7B_529/2025 du 26 janvier 2026 consid. 3.4.2). Dans ces circonstances particulières, les réquisits pour le prononcé de la mesure querellée ne sont pas réunis. Aussi, nul n'est besoin d'examiner les autres griefs du recourant.</w:t>
      </w:r>
    </w:p>
    <w:p>
      <w:r>
        <w:rPr>
          <w:b/>
        </w:rPr>
        <w:t>E. 3</w:t>
      </w:r>
    </w:p>
    <w:p>
      <w:r>
        <w:t>Fondé, le recours sera admis; partant, l’ordonnance querellée sera annulée, les échantillons d’ADN prélevés détruits et le profil d’ADN du recourant supprimé, le Ministère public étant chargé de l’exécution de ce qui précède.</w:t>
      </w:r>
    </w:p>
    <w:p>
      <w:r>
        <w:rPr>
          <w:b/>
        </w:rPr>
        <w:t>E. 4</w:t>
      </w:r>
    </w:p>
    <w:p>
      <w:r>
        <w:t>L’admission du recours ne donne pas lieu à la perception de frais (art. 428 al. 1 CPP).</w:t>
      </w:r>
    </w:p>
    <w:p>
      <w:r>
        <w:rPr>
          <w:b/>
        </w:rPr>
        <w:t>E. 5</w:t>
      </w:r>
    </w:p>
    <w:p>
      <w:r>
        <w:t>Le recourant, au bénéfice d'une nomination d'office dès le 1er avril 2026, soit postérieurement au dépôt de son recours, conclut à l'octroi de dépens, sans toutefois les chiffrer, ni les justifier. Tenue de statuer d’office (art. 429 al. 2 cum art. 436 al. 1 CPP), la Chambre de céans fixera, ex aequo et bono, l’indemnité due à CHF 300.- TTC, compte tenu de l’issue de la cause, dépourvue de complexité juridique, et du recours de 5 pages (page de garde et conclusions comprises). Ladite indemnité sera allouée à son conseil, conformément à l’art. 429 al. 3 CPP. * * * * *</w:t>
      </w:r>
    </w:p>
    <w:p>
      <w:r>
        <w:t>- 6/6 - P/7755/2026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